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3DB5" w14:textId="4208995F" w:rsidR="00E203C2" w:rsidRDefault="00E203C2" w:rsidP="00E203C2">
      <w:r>
        <w:rPr>
          <w:noProof/>
          <w:lang w:eastAsia="en-GB" w:bidi="ar-SA"/>
        </w:rPr>
        <w:drawing>
          <wp:inline distT="0" distB="0" distL="0" distR="0" wp14:anchorId="7C7DEAD8" wp14:editId="5EF0A60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332B3" w14:textId="77777777" w:rsidR="00E203C2" w:rsidRDefault="00E203C2" w:rsidP="00E203C2"/>
    <w:p w14:paraId="38BCF716" w14:textId="689A946A" w:rsidR="00CA641D" w:rsidRDefault="00BD09F0" w:rsidP="00CA641D">
      <w:pPr>
        <w:rPr>
          <w:b/>
          <w:color w:val="FF0000"/>
          <w:sz w:val="28"/>
          <w:szCs w:val="28"/>
        </w:rPr>
      </w:pPr>
      <w:r>
        <w:rPr>
          <w:b/>
          <w:color w:val="FF0000"/>
          <w:sz w:val="28"/>
          <w:szCs w:val="28"/>
        </w:rPr>
        <w:t>13 November 2018</w:t>
      </w:r>
    </w:p>
    <w:p w14:paraId="445FDCC9" w14:textId="7C58E2B2" w:rsidR="00CA641D" w:rsidRDefault="00BD09F0" w:rsidP="00CA641D">
      <w:pPr>
        <w:rPr>
          <w:b/>
          <w:color w:val="FF0000"/>
          <w:sz w:val="28"/>
          <w:szCs w:val="28"/>
        </w:rPr>
      </w:pPr>
      <w:bookmarkStart w:id="0" w:name="_GoBack"/>
      <w:bookmarkEnd w:id="0"/>
      <w:r>
        <w:rPr>
          <w:b/>
          <w:color w:val="FF0000"/>
          <w:sz w:val="28"/>
          <w:szCs w:val="28"/>
        </w:rPr>
        <w:t>[63-18</w:t>
      </w:r>
      <w:r w:rsidR="00CA641D">
        <w:rPr>
          <w:b/>
          <w:color w:val="FF0000"/>
          <w:sz w:val="28"/>
          <w:szCs w:val="28"/>
        </w:rPr>
        <w:t>]</w:t>
      </w:r>
    </w:p>
    <w:p w14:paraId="2CA5E409" w14:textId="77777777" w:rsidR="0057615C" w:rsidRPr="0057615C" w:rsidRDefault="0057615C" w:rsidP="00690206">
      <w:pPr>
        <w:pStyle w:val="FSTitle"/>
        <w:rPr>
          <w:b/>
          <w:sz w:val="22"/>
        </w:rPr>
      </w:pPr>
    </w:p>
    <w:p w14:paraId="7329FF03" w14:textId="77777777" w:rsidR="00092CDA" w:rsidRPr="00FC71A8" w:rsidRDefault="00092CDA" w:rsidP="00690206">
      <w:pPr>
        <w:pStyle w:val="FSTitle"/>
        <w:rPr>
          <w:b/>
        </w:rPr>
      </w:pPr>
      <w:r w:rsidRPr="005B7A73">
        <w:rPr>
          <w:b/>
        </w:rPr>
        <w:t>S</w:t>
      </w:r>
      <w:r w:rsidR="00B12F1E" w:rsidRPr="005B7A73">
        <w:rPr>
          <w:b/>
        </w:rPr>
        <w:t>upporting document</w:t>
      </w:r>
      <w:r w:rsidRPr="005B7A73">
        <w:rPr>
          <w:b/>
        </w:rPr>
        <w:t xml:space="preserve"> </w:t>
      </w:r>
      <w:r w:rsidR="00D03F63" w:rsidRPr="00FC71A8">
        <w:rPr>
          <w:b/>
        </w:rPr>
        <w:t>1</w:t>
      </w:r>
    </w:p>
    <w:p w14:paraId="2D291CD0" w14:textId="77777777" w:rsidR="00BA24E2" w:rsidRDefault="00BA24E2" w:rsidP="00E203C2"/>
    <w:p w14:paraId="1D4321D2" w14:textId="0DD60F4C" w:rsidR="00D056F1" w:rsidRPr="00FC71A8" w:rsidRDefault="00D03F63" w:rsidP="00690206">
      <w:pPr>
        <w:pStyle w:val="FSTitle"/>
      </w:pPr>
      <w:r w:rsidRPr="00FC71A8">
        <w:t xml:space="preserve">Risk and technical assessment report – Application </w:t>
      </w:r>
      <w:r w:rsidR="00BD09F0">
        <w:t>A</w:t>
      </w:r>
      <w:r w:rsidRPr="00FC71A8">
        <w:t>1158</w:t>
      </w:r>
      <w:r w:rsidR="00BD09F0">
        <w:t xml:space="preserve"> (at Approval)</w:t>
      </w:r>
    </w:p>
    <w:p w14:paraId="337528FE" w14:textId="77777777" w:rsidR="00E203C2" w:rsidRPr="00FC71A8" w:rsidRDefault="00E203C2" w:rsidP="00690206"/>
    <w:p w14:paraId="30B2587D" w14:textId="77777777" w:rsidR="00E203C2" w:rsidRPr="00FC71A8" w:rsidRDefault="00D03F63" w:rsidP="00D03F63">
      <w:pPr>
        <w:pStyle w:val="FSTitle"/>
        <w:rPr>
          <w:rFonts w:cs="Arial"/>
          <w:bCs w:val="0"/>
        </w:rPr>
      </w:pPr>
      <w:r w:rsidRPr="00FC71A8">
        <w:t xml:space="preserve">Rosemary extract as a food additive </w:t>
      </w:r>
    </w:p>
    <w:p w14:paraId="44F98070" w14:textId="77777777" w:rsidR="00E203C2" w:rsidRPr="00B37BF0" w:rsidRDefault="00E203C2" w:rsidP="00E203C2"/>
    <w:p w14:paraId="5D2D6B2D" w14:textId="0799277E" w:rsidR="00092CDA" w:rsidRDefault="00092CDA" w:rsidP="00E27B65">
      <w:pPr>
        <w:pStyle w:val="Heading1"/>
        <w:spacing w:before="0"/>
      </w:pPr>
      <w:bookmarkStart w:id="1" w:name="_Toc286391001"/>
      <w:bookmarkStart w:id="2" w:name="_Toc300933414"/>
      <w:bookmarkStart w:id="3" w:name="_Toc453078193"/>
      <w:bookmarkStart w:id="4" w:name="_Toc517709862"/>
      <w:bookmarkStart w:id="5" w:name="_Toc518388262"/>
      <w:bookmarkStart w:id="6" w:name="_Toc526498351"/>
      <w:r w:rsidRPr="00092CDA">
        <w:t xml:space="preserve">Executive </w:t>
      </w:r>
      <w:r w:rsidR="00B12F1E">
        <w:t>s</w:t>
      </w:r>
      <w:r w:rsidRPr="00092CDA">
        <w:t>ummary</w:t>
      </w:r>
      <w:bookmarkEnd w:id="1"/>
      <w:bookmarkEnd w:id="2"/>
      <w:bookmarkEnd w:id="3"/>
      <w:bookmarkEnd w:id="4"/>
      <w:bookmarkEnd w:id="5"/>
      <w:bookmarkEnd w:id="6"/>
    </w:p>
    <w:p w14:paraId="327583DA" w14:textId="2297AF7A" w:rsidR="00092CDA" w:rsidRDefault="00511032" w:rsidP="00690206">
      <w:r w:rsidRPr="00D03F63">
        <w:t>K</w:t>
      </w:r>
      <w:r>
        <w:t>alsec</w:t>
      </w:r>
      <w:r w:rsidRPr="00D03F63">
        <w:t xml:space="preserve"> Inc </w:t>
      </w:r>
      <w:r w:rsidR="0078798B">
        <w:t xml:space="preserve">has </w:t>
      </w:r>
      <w:r>
        <w:t xml:space="preserve">applied to change the Australia New Zealand Food Standards Code to permit the </w:t>
      </w:r>
      <w:r w:rsidR="00E27B65">
        <w:t xml:space="preserve">use of rosemary extract as a food additive. </w:t>
      </w:r>
      <w:r>
        <w:t>The applicant seeks to use the ext</w:t>
      </w:r>
      <w:r w:rsidR="00E27B65">
        <w:t xml:space="preserve">ract as an antioxidant in a range of foods </w:t>
      </w:r>
      <w:r w:rsidR="007415EF">
        <w:t>where a m</w:t>
      </w:r>
      <w:r w:rsidR="00E27B65">
        <w:t xml:space="preserve">aximum </w:t>
      </w:r>
      <w:r w:rsidR="007415EF">
        <w:t>p</w:t>
      </w:r>
      <w:r w:rsidR="00E27B65">
        <w:t xml:space="preserve">ermitted </w:t>
      </w:r>
      <w:r w:rsidR="007415EF">
        <w:t>l</w:t>
      </w:r>
      <w:r w:rsidR="00FE177F">
        <w:t>e</w:t>
      </w:r>
      <w:r w:rsidR="00E27B65">
        <w:t>vel</w:t>
      </w:r>
      <w:r w:rsidR="00FE177F">
        <w:t xml:space="preserve"> (MPL)</w:t>
      </w:r>
      <w:r w:rsidR="007415EF">
        <w:t xml:space="preserve"> is</w:t>
      </w:r>
      <w:r w:rsidR="00BA0564">
        <w:t xml:space="preserve"> specified for </w:t>
      </w:r>
      <w:r w:rsidR="00E27B65">
        <w:t>each food.</w:t>
      </w:r>
    </w:p>
    <w:p w14:paraId="2F3CCCD0" w14:textId="53F38B63" w:rsidR="00E27B65" w:rsidRDefault="00E27B65" w:rsidP="00690206"/>
    <w:p w14:paraId="3A5FBC7C" w14:textId="7D1F05DF" w:rsidR="0093613F" w:rsidRDefault="0093613F" w:rsidP="00690206">
      <w:r>
        <w:t>Rosemary extract is isolated from the leaves of the rosemary plant by ethanol or acetone extraction. The extraction and</w:t>
      </w:r>
      <w:r w:rsidR="00A554DC">
        <w:t xml:space="preserve"> subsequent processing yields an extract </w:t>
      </w:r>
      <w:r>
        <w:t xml:space="preserve">which </w:t>
      </w:r>
      <w:r w:rsidR="00A554DC">
        <w:t xml:space="preserve">is enriched in </w:t>
      </w:r>
      <w:r>
        <w:t xml:space="preserve">two antioxidant compounds </w:t>
      </w:r>
      <w:r w:rsidR="00A554DC">
        <w:t xml:space="preserve">called </w:t>
      </w:r>
      <w:r>
        <w:t>carnosol and carnosic acid</w:t>
      </w:r>
      <w:r w:rsidR="00A554DC">
        <w:t>. The</w:t>
      </w:r>
      <w:r w:rsidR="000F625F">
        <w:t xml:space="preserve"> </w:t>
      </w:r>
      <w:r w:rsidR="00A554DC">
        <w:t>compounds</w:t>
      </w:r>
      <w:r w:rsidR="000F625F">
        <w:t xml:space="preserve">, which </w:t>
      </w:r>
      <w:r w:rsidR="00A554DC">
        <w:t xml:space="preserve">are well-characterised </w:t>
      </w:r>
      <w:r w:rsidR="00A01F0A">
        <w:t>chemically and as antioxidants</w:t>
      </w:r>
      <w:r w:rsidR="000F625F">
        <w:t>, increase</w:t>
      </w:r>
      <w:r w:rsidR="00A554DC">
        <w:t xml:space="preserve"> stability and extend </w:t>
      </w:r>
      <w:r w:rsidR="000F625F">
        <w:t xml:space="preserve">the </w:t>
      </w:r>
      <w:r w:rsidR="00A554DC">
        <w:t>shelf-life</w:t>
      </w:r>
      <w:r w:rsidR="000F625F">
        <w:t xml:space="preserve"> of foods</w:t>
      </w:r>
      <w:r w:rsidR="00A554DC">
        <w:t>.</w:t>
      </w:r>
      <w:r w:rsidR="001B5FDA">
        <w:t xml:space="preserve"> </w:t>
      </w:r>
      <w:r w:rsidR="000F625F">
        <w:t xml:space="preserve">FSANZ </w:t>
      </w:r>
      <w:r w:rsidR="0078798B">
        <w:t xml:space="preserve">has </w:t>
      </w:r>
      <w:r w:rsidR="000F625F">
        <w:t xml:space="preserve">determined that </w:t>
      </w:r>
      <w:r w:rsidR="00E27B65">
        <w:t>rosemary extract perform</w:t>
      </w:r>
      <w:r w:rsidR="000F625F">
        <w:t>s</w:t>
      </w:r>
      <w:r w:rsidR="00E27B65">
        <w:t xml:space="preserve"> </w:t>
      </w:r>
      <w:r w:rsidR="000F625F">
        <w:t xml:space="preserve">an antioxidant </w:t>
      </w:r>
      <w:r w:rsidR="00E27B65">
        <w:t>function</w:t>
      </w:r>
      <w:r>
        <w:t>. There are internationally accepted specification</w:t>
      </w:r>
      <w:r w:rsidR="00BA0564">
        <w:t>s</w:t>
      </w:r>
      <w:r>
        <w:t xml:space="preserve"> for rosemary extract used as an antioxidant.</w:t>
      </w:r>
      <w:r w:rsidR="0078798B">
        <w:t xml:space="preserve"> </w:t>
      </w:r>
    </w:p>
    <w:p w14:paraId="6B6BCB2C" w14:textId="77777777" w:rsidR="005D1CAC" w:rsidRDefault="005D1CAC" w:rsidP="00690206"/>
    <w:p w14:paraId="4EEDFE50" w14:textId="77777777" w:rsidR="00D82E94" w:rsidRPr="00DB3573" w:rsidRDefault="0093613F" w:rsidP="003B54BE">
      <w:r>
        <w:t>The submitted data, and i</w:t>
      </w:r>
      <w:r w:rsidR="00A03265">
        <w:t>nformation from other sources, we</w:t>
      </w:r>
      <w:r>
        <w:t xml:space="preserve">re considered adequate to define the hazard of rosemary </w:t>
      </w:r>
      <w:r w:rsidRPr="00DB3573">
        <w:t xml:space="preserve">extract. </w:t>
      </w:r>
      <w:r w:rsidR="00D82E94" w:rsidRPr="00DB3573">
        <w:t>Oral bioavailability of carnosic acid (which is oxidised to carnosol) is estimated to be ≥65%. Oxidation, glucuronidation, and methylation are the major pathways of metabolism with a range of metabolites detected in the urine and faeces.</w:t>
      </w:r>
    </w:p>
    <w:p w14:paraId="3535024C" w14:textId="21ED47AC" w:rsidR="00D82E94" w:rsidRPr="00DB3573" w:rsidRDefault="00D82E94" w:rsidP="003B54BE"/>
    <w:p w14:paraId="461F0540" w14:textId="77777777" w:rsidR="00D82E94" w:rsidRPr="00DB3573" w:rsidRDefault="00D82E94" w:rsidP="00D82E94">
      <w:r w:rsidRPr="00DB3573">
        <w:t xml:space="preserve">The acute toxicity of carnosic acid was low in mice and rats. The Joint FAO/WHO Expert Committee on Food Additives (JECFA) report on rosemary extract described a number of unpublished studies in rats that ranged in duration from 14 to 90 days. The highest no-observed-adverse-effect level (NOAEL) among the 90-day studies, expressed as carnosic acid plus carnosol, was 64 mg/kg bw/day. </w:t>
      </w:r>
    </w:p>
    <w:p w14:paraId="2F193487" w14:textId="77777777" w:rsidR="00D82E94" w:rsidRPr="00DB3573" w:rsidRDefault="00D82E94" w:rsidP="00D82E94"/>
    <w:p w14:paraId="7500F56F" w14:textId="77777777" w:rsidR="00D82E94" w:rsidRPr="00DB3573" w:rsidRDefault="00D82E94" w:rsidP="00D82E94">
      <w:r w:rsidRPr="00DB3573">
        <w:t xml:space="preserve">No chronic or carcinogenicity studies of rosemary extract, carnosic acid, or carnosol were identified. Rosemary extract was not genotoxic in an </w:t>
      </w:r>
      <w:r w:rsidRPr="00DB3573">
        <w:rPr>
          <w:i/>
        </w:rPr>
        <w:t>in vitro</w:t>
      </w:r>
      <w:r w:rsidRPr="00DB3573">
        <w:t xml:space="preserve"> or an </w:t>
      </w:r>
      <w:r w:rsidRPr="00DB3573">
        <w:rPr>
          <w:i/>
        </w:rPr>
        <w:t>in vivo</w:t>
      </w:r>
      <w:r w:rsidRPr="00DB3573">
        <w:t xml:space="preserve"> assay. JECFA found no indication of genotoxic concern for extracts of rosemary extract, or carnosic acid and carnosol, in a range of studies </w:t>
      </w:r>
      <w:r w:rsidRPr="00DB3573">
        <w:rPr>
          <w:i/>
        </w:rPr>
        <w:t>in vitro</w:t>
      </w:r>
      <w:r w:rsidRPr="00DB3573">
        <w:t xml:space="preserve"> or </w:t>
      </w:r>
      <w:r w:rsidRPr="00DB3573">
        <w:rPr>
          <w:i/>
        </w:rPr>
        <w:t>in vivo</w:t>
      </w:r>
      <w:r w:rsidRPr="00DB3573">
        <w:t xml:space="preserve">. </w:t>
      </w:r>
    </w:p>
    <w:p w14:paraId="40D48DB9" w14:textId="77777777" w:rsidR="00D82E94" w:rsidRPr="00DB3573" w:rsidRDefault="00D82E94" w:rsidP="00D82E94"/>
    <w:p w14:paraId="354DC95A" w14:textId="77777777" w:rsidR="00D82E94" w:rsidRPr="00DB3573" w:rsidRDefault="00D82E94" w:rsidP="00D82E94">
      <w:r w:rsidRPr="00DB3573">
        <w:t xml:space="preserve">No concerns were identified in published human studies although there is limited information on tolerance in the scientific literature. Rosemary also has a long history of safe use as a culinary herb. </w:t>
      </w:r>
    </w:p>
    <w:p w14:paraId="04323EB1" w14:textId="77777777" w:rsidR="00D82E94" w:rsidRPr="00DB3573" w:rsidRDefault="00D82E94" w:rsidP="00D82E94"/>
    <w:p w14:paraId="169BBA3C" w14:textId="30FFEE54" w:rsidR="00D82E94" w:rsidRPr="00DB3573" w:rsidRDefault="00D82E94" w:rsidP="00D82E94">
      <w:r w:rsidRPr="00DB3573">
        <w:t xml:space="preserve">JECFA established a temporary Acceptable Daily Intake (ADI) of 0 - 0.3 mg/kg bw for rosemary extract, expressed as the sum of carnosic acid and carnosol, on the basis of a NOAEL of 64 mg/kg bw/day identified in a 90-day toxicity study in rats, with the application of a 200-fold uncertainty factor. This uncertainty factor incorporates a factor of 2 to account for the temporary designation of the ADI, pending the submission of studies on the potential </w:t>
      </w:r>
      <w:r w:rsidRPr="00DB3573">
        <w:lastRenderedPageBreak/>
        <w:t xml:space="preserve">developmental and reproductive toxicity of rosemary extract. </w:t>
      </w:r>
    </w:p>
    <w:p w14:paraId="6F445088" w14:textId="77777777" w:rsidR="00D82E94" w:rsidRPr="00DB3573" w:rsidRDefault="00D82E94" w:rsidP="00D82E94"/>
    <w:p w14:paraId="75BA3160" w14:textId="0AA97937" w:rsidR="00D82E94" w:rsidRPr="00434F71" w:rsidRDefault="00D82E94" w:rsidP="003B54BE">
      <w:r w:rsidRPr="00DB3573">
        <w:t>Following the Call for Submissions, the Applicant provided FSANZ with a draft final report of a reproductive and development toxicity s</w:t>
      </w:r>
      <w:r w:rsidR="00147EAE" w:rsidRPr="00DB3573">
        <w:t xml:space="preserve">creening study in rats </w:t>
      </w:r>
      <w:r w:rsidRPr="00DB3573">
        <w:t xml:space="preserve">using rosemary extract conducted according to OECD </w:t>
      </w:r>
      <w:r w:rsidR="007C10BA" w:rsidRPr="00DB3573">
        <w:t xml:space="preserve">421 test </w:t>
      </w:r>
      <w:r w:rsidR="00F93B26" w:rsidRPr="00DB3573">
        <w:t>guideline</w:t>
      </w:r>
      <w:r w:rsidRPr="00DB3573">
        <w:t xml:space="preserve">. </w:t>
      </w:r>
      <w:r w:rsidR="00147EAE" w:rsidRPr="00DB3573">
        <w:t xml:space="preserve">The </w:t>
      </w:r>
      <w:r w:rsidR="0013387E" w:rsidRPr="00DB3573">
        <w:t xml:space="preserve">NOAEL for </w:t>
      </w:r>
      <w:r w:rsidR="00147EAE" w:rsidRPr="00DB3573">
        <w:t xml:space="preserve">reproductive </w:t>
      </w:r>
      <w:r w:rsidR="0013387E" w:rsidRPr="00DB3573">
        <w:t xml:space="preserve">parameters of parental (P) generation, and the NOAEL for maternal toxicity, was the highest dose tested, equivalent to 316.2 mg/kg bw/day rosemary extract for males and 401.2 mg/kg bw/day rosemary extract for females. When these values are converted to the sum of carnosic acid and carnosol, they are 149.3 mg/kg bw/day for males and 189.4 mg/kg bw/day for females. </w:t>
      </w:r>
      <w:r w:rsidR="00434F71" w:rsidRPr="00DB3573">
        <w:t xml:space="preserve">The </w:t>
      </w:r>
      <w:r w:rsidR="00147EAE" w:rsidRPr="00DB3573">
        <w:t xml:space="preserve">NOAEL for offspring toxicity was </w:t>
      </w:r>
      <w:r w:rsidR="00C15A4E" w:rsidRPr="00DB3573">
        <w:t>166.7 mg/kg bw/day</w:t>
      </w:r>
      <w:r w:rsidR="0013387E" w:rsidRPr="00DB3573">
        <w:t xml:space="preserve">, </w:t>
      </w:r>
      <w:r w:rsidR="00147EAE" w:rsidRPr="00DB3573">
        <w:t xml:space="preserve">equivalent to </w:t>
      </w:r>
      <w:r w:rsidR="00A079A8" w:rsidRPr="00DB3573">
        <w:t xml:space="preserve">78.7 mg/kg bw/day </w:t>
      </w:r>
      <w:r w:rsidR="00147EAE" w:rsidRPr="00DB3573">
        <w:t>carnosic acid and carnosol</w:t>
      </w:r>
      <w:r w:rsidR="00C15A4E" w:rsidRPr="00DB3573">
        <w:t xml:space="preserve">, on the basis of low </w:t>
      </w:r>
      <w:r w:rsidR="00A079A8" w:rsidRPr="00DB3573">
        <w:t xml:space="preserve">group mean </w:t>
      </w:r>
      <w:r w:rsidR="00C15A4E" w:rsidRPr="00DB3573">
        <w:t xml:space="preserve">serum </w:t>
      </w:r>
      <w:r w:rsidR="004442AD" w:rsidRPr="00DB3573">
        <w:t>thyroxine (</w:t>
      </w:r>
      <w:r w:rsidR="00C15A4E" w:rsidRPr="00DB3573">
        <w:t>T4</w:t>
      </w:r>
      <w:r w:rsidR="004442AD" w:rsidRPr="00DB3573">
        <w:t>)</w:t>
      </w:r>
      <w:r w:rsidR="00C15A4E" w:rsidRPr="00DB3573">
        <w:t xml:space="preserve"> </w:t>
      </w:r>
      <w:r w:rsidR="00147EAE" w:rsidRPr="00DB3573">
        <w:t xml:space="preserve">and thyroid stimulating hormone (TSH) </w:t>
      </w:r>
      <w:r w:rsidR="00C15A4E" w:rsidRPr="00DB3573">
        <w:t xml:space="preserve">in pups </w:t>
      </w:r>
      <w:r w:rsidR="00147EAE" w:rsidRPr="00DB3573">
        <w:t>at higher doses on</w:t>
      </w:r>
      <w:r w:rsidR="00C15A4E" w:rsidRPr="00DB3573">
        <w:t xml:space="preserve"> </w:t>
      </w:r>
      <w:r w:rsidR="00B6465C">
        <w:t xml:space="preserve">postnatal day </w:t>
      </w:r>
      <w:r w:rsidR="00C15A4E" w:rsidRPr="00DB3573">
        <w:t xml:space="preserve">13. </w:t>
      </w:r>
      <w:r w:rsidR="007157A5" w:rsidRPr="00DB3573">
        <w:t xml:space="preserve">The reproductive, maternal and offspring </w:t>
      </w:r>
      <w:r w:rsidR="00974E1D" w:rsidRPr="00DB3573">
        <w:t>NOAEL</w:t>
      </w:r>
      <w:r w:rsidR="007157A5" w:rsidRPr="00DB3573">
        <w:t>s</w:t>
      </w:r>
      <w:r w:rsidR="00974E1D" w:rsidRPr="00DB3573">
        <w:t xml:space="preserve"> </w:t>
      </w:r>
      <w:r w:rsidR="007157A5" w:rsidRPr="00DB3573">
        <w:t xml:space="preserve">are </w:t>
      </w:r>
      <w:r w:rsidR="00974E1D" w:rsidRPr="00DB3573">
        <w:t xml:space="preserve">more than </w:t>
      </w:r>
      <w:r w:rsidR="00434F71" w:rsidRPr="00DB3573">
        <w:t xml:space="preserve">200-fold </w:t>
      </w:r>
      <w:r w:rsidR="00974E1D" w:rsidRPr="00DB3573">
        <w:t>greater than the</w:t>
      </w:r>
      <w:r w:rsidR="00E00FC5" w:rsidRPr="00DB3573">
        <w:t xml:space="preserve"> JECFA temporary ADI</w:t>
      </w:r>
      <w:r w:rsidR="007157A5" w:rsidRPr="00DB3573">
        <w:t xml:space="preserve">. </w:t>
      </w:r>
      <w:r w:rsidR="00405BC0" w:rsidRPr="00DB3573">
        <w:t>Therefore FSANZ considers that the JECFA temporary ADI for rosemary extract remains appropriate for the purposes of this assessment.</w:t>
      </w:r>
      <w:r w:rsidR="00405BC0" w:rsidRPr="00405BC0">
        <w:t xml:space="preserve"> </w:t>
      </w:r>
    </w:p>
    <w:p w14:paraId="5C1E0E09" w14:textId="6E7A4EB0" w:rsidR="00254814" w:rsidRPr="00681409" w:rsidRDefault="00254814" w:rsidP="00690206">
      <w:pPr>
        <w:rPr>
          <w:highlight w:val="yellow"/>
          <w:lang w:bidi="ar-SA"/>
        </w:rPr>
      </w:pPr>
    </w:p>
    <w:p w14:paraId="07236160" w14:textId="62E87F34" w:rsidR="009717D9" w:rsidRDefault="00254814">
      <w:r>
        <w:t xml:space="preserve">FSANZ undertook a dietary exposure assessment </w:t>
      </w:r>
      <w:r w:rsidR="008F377D">
        <w:t xml:space="preserve">for both Australia and New Zealand </w:t>
      </w:r>
      <w:r w:rsidR="009717D9">
        <w:t>for carnosic acid plus carnosol from rosemary leaves only</w:t>
      </w:r>
      <w:r w:rsidR="008F377D">
        <w:t xml:space="preserve"> (naturally occurring source)</w:t>
      </w:r>
      <w:r w:rsidR="009717D9">
        <w:t>, from rosemary extract only (at the</w:t>
      </w:r>
      <w:r w:rsidR="008F377D">
        <w:t xml:space="preserve"> proposed</w:t>
      </w:r>
      <w:r w:rsidR="009717D9">
        <w:t xml:space="preserve"> </w:t>
      </w:r>
      <w:r w:rsidR="00127DC8">
        <w:t>MPL</w:t>
      </w:r>
      <w:r w:rsidR="008F377D">
        <w:t>s</w:t>
      </w:r>
      <w:r w:rsidR="00127DC8">
        <w:t xml:space="preserve"> and at the </w:t>
      </w:r>
      <w:r w:rsidR="009717D9">
        <w:t xml:space="preserve">usual use levels) and from rosemary leaves </w:t>
      </w:r>
      <w:r w:rsidR="00127DC8">
        <w:t xml:space="preserve">and </w:t>
      </w:r>
      <w:r w:rsidR="009717D9">
        <w:t xml:space="preserve">rosemary extract (at the </w:t>
      </w:r>
      <w:r w:rsidR="008F377D">
        <w:t xml:space="preserve">proposed </w:t>
      </w:r>
      <w:r w:rsidR="00127DC8">
        <w:t>MPL</w:t>
      </w:r>
      <w:r w:rsidR="008F377D">
        <w:t>s</w:t>
      </w:r>
      <w:r w:rsidR="00127DC8">
        <w:t xml:space="preserve"> and at the </w:t>
      </w:r>
      <w:r w:rsidR="009717D9">
        <w:t>usual use levels</w:t>
      </w:r>
      <w:r w:rsidR="00127DC8">
        <w:t>) and compared these</w:t>
      </w:r>
      <w:r w:rsidR="009717D9" w:rsidRPr="00EF43AF">
        <w:t xml:space="preserve"> exposures to </w:t>
      </w:r>
      <w:r w:rsidR="00127DC8">
        <w:t>the ADI</w:t>
      </w:r>
      <w:r w:rsidR="009717D9" w:rsidRPr="00EF43AF">
        <w:t>.</w:t>
      </w:r>
    </w:p>
    <w:p w14:paraId="735B433D" w14:textId="26290B10" w:rsidR="009717D9" w:rsidRDefault="009717D9"/>
    <w:p w14:paraId="2A15821F" w14:textId="13322EEF" w:rsidR="009717D9" w:rsidRDefault="009717D9">
      <w:r>
        <w:t xml:space="preserve">For the </w:t>
      </w:r>
      <w:r>
        <w:rPr>
          <w:i/>
        </w:rPr>
        <w:t xml:space="preserve">Naturally-occurring </w:t>
      </w:r>
      <w:r>
        <w:t xml:space="preserve">scenario where dietary exposures to carnosic acid plus carnosol from rosemary leaves only were considered, mean and P90 exposures </w:t>
      </w:r>
      <w:r w:rsidR="008F377D">
        <w:t>for consumers only did not exceed the</w:t>
      </w:r>
      <w:r>
        <w:t xml:space="preserve"> ADI, </w:t>
      </w:r>
      <w:r w:rsidR="008F377D">
        <w:t>for all</w:t>
      </w:r>
      <w:r>
        <w:t xml:space="preserve"> population group</w:t>
      </w:r>
      <w:r w:rsidR="008F377D">
        <w:t>s</w:t>
      </w:r>
      <w:r>
        <w:t xml:space="preserve"> assessed.</w:t>
      </w:r>
    </w:p>
    <w:p w14:paraId="3C888800" w14:textId="46679E0B" w:rsidR="00B82225" w:rsidRDefault="00B82225"/>
    <w:p w14:paraId="553A8B99" w14:textId="41830512" w:rsidR="00A61845" w:rsidRDefault="009717D9">
      <w:r>
        <w:t xml:space="preserve">For the </w:t>
      </w:r>
      <w:r w:rsidR="008F377D">
        <w:t xml:space="preserve">proposed </w:t>
      </w:r>
      <w:r>
        <w:t xml:space="preserve">MPL scenarios, mean dietary exposures to carnosic acid plus carnosol </w:t>
      </w:r>
      <w:r w:rsidR="008F377D">
        <w:t xml:space="preserve">for consumers only </w:t>
      </w:r>
      <w:r>
        <w:t xml:space="preserve">were 25 – </w:t>
      </w:r>
      <w:r w:rsidR="00C80685">
        <w:t>60</w:t>
      </w:r>
      <w:r>
        <w:t>% </w:t>
      </w:r>
      <w:r w:rsidR="000B6EBE">
        <w:t xml:space="preserve">of the </w:t>
      </w:r>
      <w:r>
        <w:t xml:space="preserve">ADI and </w:t>
      </w:r>
      <w:r w:rsidR="00ED764E">
        <w:t>90</w:t>
      </w:r>
      <w:r w:rsidR="00ED764E" w:rsidRPr="00ED764E">
        <w:rPr>
          <w:vertAlign w:val="superscript"/>
        </w:rPr>
        <w:t>th</w:t>
      </w:r>
      <w:r w:rsidR="00ED764E">
        <w:t xml:space="preserve"> percentile (</w:t>
      </w:r>
      <w:r>
        <w:t>P90</w:t>
      </w:r>
      <w:r w:rsidR="00ED764E">
        <w:t>)</w:t>
      </w:r>
      <w:r>
        <w:t xml:space="preserve"> exposures were 50 – 110% </w:t>
      </w:r>
      <w:r w:rsidR="000B6EBE">
        <w:t xml:space="preserve">of the </w:t>
      </w:r>
      <w:r>
        <w:t>ADI depending on the population group being assessed. The dietary exposure estimates based on MPLs are highly conservative</w:t>
      </w:r>
      <w:r w:rsidR="00532EAF">
        <w:t xml:space="preserve"> and likely to be an overestimate of dietary exposure to carnosic acid plus carnosol </w:t>
      </w:r>
      <w:r w:rsidR="00FB2997">
        <w:t xml:space="preserve">due to the following </w:t>
      </w:r>
      <w:r w:rsidR="004B6CA3">
        <w:t>assumptions</w:t>
      </w:r>
      <w:r w:rsidR="00FB2997">
        <w:t>:</w:t>
      </w:r>
      <w:r w:rsidR="00532EAF">
        <w:t xml:space="preserve"> </w:t>
      </w:r>
      <w:r>
        <w:t>that all foods within a category contain rosemary extract at the MPL</w:t>
      </w:r>
      <w:r w:rsidR="00FB2997">
        <w:t xml:space="preserve"> and </w:t>
      </w:r>
      <w:r>
        <w:t>all of the foods within the food categories requested to contain rosemary extract will use rosemary extract</w:t>
      </w:r>
      <w:r w:rsidR="00FB2997">
        <w:t>;</w:t>
      </w:r>
      <w:r>
        <w:t xml:space="preserve"> and </w:t>
      </w:r>
      <w:r w:rsidR="00540319">
        <w:t xml:space="preserve">that </w:t>
      </w:r>
      <w:r>
        <w:t>consumers always eat the products containing rosemary extracts at these concentrations over a lifetime.</w:t>
      </w:r>
    </w:p>
    <w:p w14:paraId="1A622F28" w14:textId="6811B916" w:rsidR="00A61845" w:rsidRDefault="00A61845"/>
    <w:p w14:paraId="6FEF0F36" w14:textId="4A41A04C" w:rsidR="00067599" w:rsidRDefault="009717D9">
      <w:r>
        <w:t xml:space="preserve">The </w:t>
      </w:r>
      <w:r w:rsidRPr="00D5128F">
        <w:t>Usual Use</w:t>
      </w:r>
      <w:r>
        <w:t xml:space="preserve"> scenarios represent a more likely estimate of dietary exposures </w:t>
      </w:r>
      <w:r w:rsidR="00A5257A">
        <w:t xml:space="preserve">since estimates are based on </w:t>
      </w:r>
      <w:r w:rsidR="006C2B27">
        <w:t xml:space="preserve">probable </w:t>
      </w:r>
      <w:r w:rsidR="00A5257A">
        <w:t xml:space="preserve">concentrations of carnosic acid plus carnosol in the foods </w:t>
      </w:r>
      <w:r w:rsidR="006C2B27">
        <w:t xml:space="preserve">requested </w:t>
      </w:r>
      <w:r w:rsidR="00A5257A">
        <w:t xml:space="preserve">for addition of rosemary extract. </w:t>
      </w:r>
      <w:r>
        <w:t xml:space="preserve">For the </w:t>
      </w:r>
      <w:r w:rsidRPr="00D5128F">
        <w:t>Usual Use</w:t>
      </w:r>
      <w:r>
        <w:t xml:space="preserve"> scenarios, mean dietary exposures to carnosic acid plus carnosol </w:t>
      </w:r>
      <w:r w:rsidR="008F377D">
        <w:t xml:space="preserve">for consumers only </w:t>
      </w:r>
      <w:r>
        <w:t>were 15</w:t>
      </w:r>
      <w:r w:rsidR="00255F0D">
        <w:t> </w:t>
      </w:r>
      <w:r>
        <w:t>– 30% </w:t>
      </w:r>
      <w:r w:rsidR="000B6EBE">
        <w:t xml:space="preserve">of the </w:t>
      </w:r>
      <w:r>
        <w:t xml:space="preserve">ADI and P90 exposures were </w:t>
      </w:r>
      <w:r w:rsidR="00C80685">
        <w:t xml:space="preserve">30 </w:t>
      </w:r>
      <w:r>
        <w:t xml:space="preserve">– </w:t>
      </w:r>
      <w:r w:rsidR="00C80685">
        <w:t>60</w:t>
      </w:r>
      <w:r>
        <w:t>% </w:t>
      </w:r>
      <w:r w:rsidR="000B6EBE">
        <w:t xml:space="preserve">of the </w:t>
      </w:r>
      <w:r>
        <w:t>ADI, depending on the population group being assessed.</w:t>
      </w:r>
    </w:p>
    <w:p w14:paraId="77C20376" w14:textId="77777777" w:rsidR="00190FC6" w:rsidRDefault="00190FC6" w:rsidP="00690206"/>
    <w:p w14:paraId="781D52B4" w14:textId="626BB812" w:rsidR="00067599" w:rsidRDefault="006C2B27" w:rsidP="00690206">
      <w:r>
        <w:t>The</w:t>
      </w:r>
      <w:r w:rsidR="00B82225">
        <w:t xml:space="preserve"> dietary</w:t>
      </w:r>
      <w:r>
        <w:t xml:space="preserve"> e</w:t>
      </w:r>
      <w:r w:rsidR="00067599">
        <w:t>xposure</w:t>
      </w:r>
      <w:r w:rsidR="00122358">
        <w:t>s</w:t>
      </w:r>
      <w:r w:rsidR="00067599">
        <w:t xml:space="preserve"> </w:t>
      </w:r>
      <w:r>
        <w:t xml:space="preserve">estimated for </w:t>
      </w:r>
      <w:r w:rsidR="00067599">
        <w:t>carnosic acid plus carnosol</w:t>
      </w:r>
      <w:r>
        <w:t xml:space="preserve"> from</w:t>
      </w:r>
      <w:r w:rsidR="00067599">
        <w:t xml:space="preserve"> </w:t>
      </w:r>
      <w:r w:rsidR="008F377D">
        <w:t xml:space="preserve">naturally occurring sources through the </w:t>
      </w:r>
      <w:r w:rsidR="00067599">
        <w:t>consum</w:t>
      </w:r>
      <w:r>
        <w:t xml:space="preserve">ption </w:t>
      </w:r>
      <w:r w:rsidR="00067599">
        <w:t xml:space="preserve">of rosemary leaves contributed minimally to the overall exposure estimated in all MPL and </w:t>
      </w:r>
      <w:r w:rsidR="00067599" w:rsidRPr="00D5128F">
        <w:t>Usual Use</w:t>
      </w:r>
      <w:r w:rsidR="00067599">
        <w:t xml:space="preserve"> scenarios. </w:t>
      </w:r>
    </w:p>
    <w:p w14:paraId="179A12BE" w14:textId="59817B88" w:rsidR="00254814" w:rsidRDefault="00254814" w:rsidP="00690206"/>
    <w:p w14:paraId="316FFE40" w14:textId="73193FAE" w:rsidR="001F7ACF" w:rsidRDefault="000F625F" w:rsidP="00690206">
      <w:pPr>
        <w:rPr>
          <w:lang w:bidi="ar-SA"/>
        </w:rPr>
      </w:pPr>
      <w:r>
        <w:rPr>
          <w:lang w:bidi="ar-SA"/>
        </w:rPr>
        <w:t>Based on</w:t>
      </w:r>
      <w:r w:rsidR="006C2B27">
        <w:rPr>
          <w:lang w:bidi="ar-SA"/>
        </w:rPr>
        <w:t xml:space="preserve"> </w:t>
      </w:r>
      <w:r w:rsidR="00FC075C">
        <w:rPr>
          <w:lang w:bidi="ar-SA"/>
        </w:rPr>
        <w:t>the safety and dietary exposure assessment</w:t>
      </w:r>
      <w:r w:rsidR="008F377D">
        <w:rPr>
          <w:lang w:bidi="ar-SA"/>
        </w:rPr>
        <w:t>s</w:t>
      </w:r>
      <w:r w:rsidR="00FC075C">
        <w:rPr>
          <w:lang w:bidi="ar-SA"/>
        </w:rPr>
        <w:t xml:space="preserve">, </w:t>
      </w:r>
      <w:r w:rsidR="006C2B27">
        <w:rPr>
          <w:lang w:bidi="ar-SA"/>
        </w:rPr>
        <w:t xml:space="preserve">there is </w:t>
      </w:r>
      <w:r w:rsidR="001260F4">
        <w:rPr>
          <w:lang w:bidi="ar-SA"/>
        </w:rPr>
        <w:t xml:space="preserve">no evidence </w:t>
      </w:r>
      <w:r w:rsidR="00A01F0A">
        <w:rPr>
          <w:lang w:bidi="ar-SA"/>
        </w:rPr>
        <w:t xml:space="preserve">of </w:t>
      </w:r>
      <w:r w:rsidR="008F377D">
        <w:rPr>
          <w:lang w:bidi="ar-SA"/>
        </w:rPr>
        <w:t xml:space="preserve">a </w:t>
      </w:r>
      <w:r w:rsidR="006C2B27">
        <w:rPr>
          <w:lang w:bidi="ar-SA"/>
        </w:rPr>
        <w:t>public health and safety</w:t>
      </w:r>
      <w:r w:rsidR="00FC075C">
        <w:rPr>
          <w:lang w:bidi="ar-SA"/>
        </w:rPr>
        <w:t xml:space="preserve"> </w:t>
      </w:r>
      <w:r w:rsidR="00147EAE" w:rsidRPr="00993CAA">
        <w:rPr>
          <w:lang w:bidi="ar-SA"/>
        </w:rPr>
        <w:t>concern</w:t>
      </w:r>
      <w:r w:rsidR="00147EAE">
        <w:rPr>
          <w:lang w:bidi="ar-SA"/>
        </w:rPr>
        <w:t xml:space="preserve"> </w:t>
      </w:r>
      <w:r w:rsidR="00FC075C">
        <w:rPr>
          <w:lang w:bidi="ar-SA"/>
        </w:rPr>
        <w:t xml:space="preserve">associated with </w:t>
      </w:r>
      <w:r>
        <w:rPr>
          <w:lang w:bidi="ar-SA"/>
        </w:rPr>
        <w:t xml:space="preserve">adding </w:t>
      </w:r>
      <w:r w:rsidR="006C2B27">
        <w:rPr>
          <w:lang w:bidi="ar-SA"/>
        </w:rPr>
        <w:t>rosemary extract as an antioxidant to the requested foods</w:t>
      </w:r>
      <w:r w:rsidR="006E2291">
        <w:rPr>
          <w:lang w:bidi="ar-SA"/>
        </w:rPr>
        <w:t>.</w:t>
      </w:r>
      <w:r w:rsidR="006E2291" w:rsidRPr="006E2291">
        <w:rPr>
          <w:lang w:bidi="ar-SA"/>
        </w:rPr>
        <w:t xml:space="preserve"> </w:t>
      </w:r>
    </w:p>
    <w:p w14:paraId="48749EE6" w14:textId="77777777" w:rsidR="001F7ACF" w:rsidRDefault="001F7ACF">
      <w:pPr>
        <w:widowControl/>
        <w:rPr>
          <w:lang w:bidi="ar-SA"/>
        </w:rPr>
      </w:pPr>
      <w:r>
        <w:rPr>
          <w:lang w:bidi="ar-SA"/>
        </w:rPr>
        <w:br w:type="page"/>
      </w:r>
    </w:p>
    <w:bookmarkStart w:id="7" w:name="_Toc526498352" w:displacedByCustomXml="next"/>
    <w:bookmarkStart w:id="8" w:name="_Toc518388263" w:displacedByCustomXml="next"/>
    <w:bookmarkStart w:id="9" w:name="_Toc517709863" w:displacedByCustomXml="next"/>
    <w:sdt>
      <w:sdtPr>
        <w:rPr>
          <w:rFonts w:cs="Times New Roman"/>
          <w:b w:val="0"/>
          <w:bCs w:val="0"/>
          <w:sz w:val="22"/>
          <w:szCs w:val="24"/>
          <w:lang w:bidi="en-US"/>
        </w:rPr>
        <w:id w:val="1547565618"/>
        <w:docPartObj>
          <w:docPartGallery w:val="Table of Contents"/>
          <w:docPartUnique/>
        </w:docPartObj>
      </w:sdtPr>
      <w:sdtEndPr>
        <w:rPr>
          <w:noProof/>
        </w:rPr>
      </w:sdtEndPr>
      <w:sdtContent>
        <w:p w14:paraId="614B7F75" w14:textId="3BC5CB90" w:rsidR="00CF3931" w:rsidRDefault="00CF3931" w:rsidP="00DF662D">
          <w:pPr>
            <w:pStyle w:val="Heading2"/>
          </w:pPr>
          <w:r>
            <w:t>Table of Contents</w:t>
          </w:r>
          <w:bookmarkEnd w:id="9"/>
          <w:bookmarkEnd w:id="8"/>
          <w:bookmarkEnd w:id="7"/>
        </w:p>
        <w:p w14:paraId="530EFC9F" w14:textId="6A8E653B" w:rsidR="00645D15" w:rsidRDefault="00CF3931">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6498351" w:history="1">
            <w:r w:rsidR="00645D15" w:rsidRPr="000E5C4E">
              <w:rPr>
                <w:rStyle w:val="Hyperlink"/>
                <w:noProof/>
              </w:rPr>
              <w:t>Executive summary</w:t>
            </w:r>
            <w:r w:rsidR="00645D15">
              <w:rPr>
                <w:noProof/>
                <w:webHidden/>
              </w:rPr>
              <w:tab/>
            </w:r>
            <w:r w:rsidR="00645D15">
              <w:rPr>
                <w:noProof/>
                <w:webHidden/>
              </w:rPr>
              <w:fldChar w:fldCharType="begin"/>
            </w:r>
            <w:r w:rsidR="00645D15">
              <w:rPr>
                <w:noProof/>
                <w:webHidden/>
              </w:rPr>
              <w:instrText xml:space="preserve"> PAGEREF _Toc526498351 \h </w:instrText>
            </w:r>
            <w:r w:rsidR="00645D15">
              <w:rPr>
                <w:noProof/>
                <w:webHidden/>
              </w:rPr>
            </w:r>
            <w:r w:rsidR="00645D15">
              <w:rPr>
                <w:noProof/>
                <w:webHidden/>
              </w:rPr>
              <w:fldChar w:fldCharType="separate"/>
            </w:r>
            <w:r w:rsidR="00645D15">
              <w:rPr>
                <w:noProof/>
                <w:webHidden/>
              </w:rPr>
              <w:t>i</w:t>
            </w:r>
            <w:r w:rsidR="00645D15">
              <w:rPr>
                <w:noProof/>
                <w:webHidden/>
              </w:rPr>
              <w:fldChar w:fldCharType="end"/>
            </w:r>
          </w:hyperlink>
        </w:p>
        <w:p w14:paraId="00FE4435" w14:textId="03B15314" w:rsidR="00645D15" w:rsidRDefault="00BD09F0">
          <w:pPr>
            <w:pStyle w:val="TOC2"/>
            <w:tabs>
              <w:tab w:val="right" w:leader="dot" w:pos="9060"/>
            </w:tabs>
            <w:rPr>
              <w:rFonts w:eastAsiaTheme="minorEastAsia" w:cstheme="minorBidi"/>
              <w:smallCaps w:val="0"/>
              <w:noProof/>
              <w:sz w:val="22"/>
              <w:szCs w:val="22"/>
              <w:lang w:eastAsia="en-GB" w:bidi="ar-SA"/>
            </w:rPr>
          </w:pPr>
          <w:hyperlink w:anchor="_Toc526498352" w:history="1">
            <w:r w:rsidR="00645D15" w:rsidRPr="000E5C4E">
              <w:rPr>
                <w:rStyle w:val="Hyperlink"/>
                <w:noProof/>
              </w:rPr>
              <w:t>Table of Contents</w:t>
            </w:r>
            <w:r w:rsidR="00645D15">
              <w:rPr>
                <w:noProof/>
                <w:webHidden/>
              </w:rPr>
              <w:tab/>
            </w:r>
            <w:r w:rsidR="00645D15">
              <w:rPr>
                <w:noProof/>
                <w:webHidden/>
              </w:rPr>
              <w:fldChar w:fldCharType="begin"/>
            </w:r>
            <w:r w:rsidR="00645D15">
              <w:rPr>
                <w:noProof/>
                <w:webHidden/>
              </w:rPr>
              <w:instrText xml:space="preserve"> PAGEREF _Toc526498352 \h </w:instrText>
            </w:r>
            <w:r w:rsidR="00645D15">
              <w:rPr>
                <w:noProof/>
                <w:webHidden/>
              </w:rPr>
            </w:r>
            <w:r w:rsidR="00645D15">
              <w:rPr>
                <w:noProof/>
                <w:webHidden/>
              </w:rPr>
              <w:fldChar w:fldCharType="separate"/>
            </w:r>
            <w:r w:rsidR="00645D15">
              <w:rPr>
                <w:noProof/>
                <w:webHidden/>
              </w:rPr>
              <w:t>iii</w:t>
            </w:r>
            <w:r w:rsidR="00645D15">
              <w:rPr>
                <w:noProof/>
                <w:webHidden/>
              </w:rPr>
              <w:fldChar w:fldCharType="end"/>
            </w:r>
          </w:hyperlink>
        </w:p>
        <w:p w14:paraId="358B585B" w14:textId="6C49300E" w:rsidR="00645D15" w:rsidRDefault="00BD09F0">
          <w:pPr>
            <w:pStyle w:val="TOC1"/>
            <w:rPr>
              <w:rFonts w:eastAsiaTheme="minorEastAsia" w:cstheme="minorBidi"/>
              <w:b w:val="0"/>
              <w:bCs w:val="0"/>
              <w:caps w:val="0"/>
              <w:noProof/>
              <w:sz w:val="22"/>
              <w:szCs w:val="22"/>
              <w:lang w:eastAsia="en-GB" w:bidi="ar-SA"/>
            </w:rPr>
          </w:pPr>
          <w:hyperlink w:anchor="_Toc526498353" w:history="1">
            <w:r w:rsidR="00645D15" w:rsidRPr="000E5C4E">
              <w:rPr>
                <w:rStyle w:val="Hyperlink"/>
                <w:noProof/>
              </w:rPr>
              <w:t>1</w:t>
            </w:r>
            <w:r w:rsidR="00645D15">
              <w:rPr>
                <w:rFonts w:eastAsiaTheme="minorEastAsia" w:cstheme="minorBidi"/>
                <w:b w:val="0"/>
                <w:bCs w:val="0"/>
                <w:caps w:val="0"/>
                <w:noProof/>
                <w:sz w:val="22"/>
                <w:szCs w:val="22"/>
                <w:lang w:eastAsia="en-GB" w:bidi="ar-SA"/>
              </w:rPr>
              <w:tab/>
            </w:r>
            <w:r w:rsidR="00645D15" w:rsidRPr="000E5C4E">
              <w:rPr>
                <w:rStyle w:val="Hyperlink"/>
                <w:noProof/>
              </w:rPr>
              <w:t>Objectives of the assessment</w:t>
            </w:r>
            <w:r w:rsidR="00645D15">
              <w:rPr>
                <w:noProof/>
                <w:webHidden/>
              </w:rPr>
              <w:tab/>
            </w:r>
            <w:r w:rsidR="00645D15">
              <w:rPr>
                <w:noProof/>
                <w:webHidden/>
              </w:rPr>
              <w:fldChar w:fldCharType="begin"/>
            </w:r>
            <w:r w:rsidR="00645D15">
              <w:rPr>
                <w:noProof/>
                <w:webHidden/>
              </w:rPr>
              <w:instrText xml:space="preserve"> PAGEREF _Toc526498353 \h </w:instrText>
            </w:r>
            <w:r w:rsidR="00645D15">
              <w:rPr>
                <w:noProof/>
                <w:webHidden/>
              </w:rPr>
            </w:r>
            <w:r w:rsidR="00645D15">
              <w:rPr>
                <w:noProof/>
                <w:webHidden/>
              </w:rPr>
              <w:fldChar w:fldCharType="separate"/>
            </w:r>
            <w:r w:rsidR="00645D15">
              <w:rPr>
                <w:noProof/>
                <w:webHidden/>
              </w:rPr>
              <w:t>5</w:t>
            </w:r>
            <w:r w:rsidR="00645D15">
              <w:rPr>
                <w:noProof/>
                <w:webHidden/>
              </w:rPr>
              <w:fldChar w:fldCharType="end"/>
            </w:r>
          </w:hyperlink>
        </w:p>
        <w:p w14:paraId="3DC97041" w14:textId="06DBDF5B" w:rsidR="00645D15" w:rsidRDefault="00BD09F0">
          <w:pPr>
            <w:pStyle w:val="TOC1"/>
            <w:rPr>
              <w:rFonts w:eastAsiaTheme="minorEastAsia" w:cstheme="minorBidi"/>
              <w:b w:val="0"/>
              <w:bCs w:val="0"/>
              <w:caps w:val="0"/>
              <w:noProof/>
              <w:sz w:val="22"/>
              <w:szCs w:val="22"/>
              <w:lang w:eastAsia="en-GB" w:bidi="ar-SA"/>
            </w:rPr>
          </w:pPr>
          <w:hyperlink w:anchor="_Toc526498354" w:history="1">
            <w:r w:rsidR="00645D15" w:rsidRPr="000E5C4E">
              <w:rPr>
                <w:rStyle w:val="Hyperlink"/>
                <w:noProof/>
              </w:rPr>
              <w:t>2</w:t>
            </w:r>
            <w:r w:rsidR="00645D15">
              <w:rPr>
                <w:rFonts w:eastAsiaTheme="minorEastAsia" w:cstheme="minorBidi"/>
                <w:b w:val="0"/>
                <w:bCs w:val="0"/>
                <w:caps w:val="0"/>
                <w:noProof/>
                <w:sz w:val="22"/>
                <w:szCs w:val="22"/>
                <w:lang w:eastAsia="en-GB" w:bidi="ar-SA"/>
              </w:rPr>
              <w:tab/>
            </w:r>
            <w:r w:rsidR="00645D15" w:rsidRPr="000E5C4E">
              <w:rPr>
                <w:rStyle w:val="Hyperlink"/>
                <w:noProof/>
              </w:rPr>
              <w:t>Food technology assessment</w:t>
            </w:r>
            <w:r w:rsidR="00645D15">
              <w:rPr>
                <w:noProof/>
                <w:webHidden/>
              </w:rPr>
              <w:tab/>
            </w:r>
            <w:r w:rsidR="00645D15">
              <w:rPr>
                <w:noProof/>
                <w:webHidden/>
              </w:rPr>
              <w:fldChar w:fldCharType="begin"/>
            </w:r>
            <w:r w:rsidR="00645D15">
              <w:rPr>
                <w:noProof/>
                <w:webHidden/>
              </w:rPr>
              <w:instrText xml:space="preserve"> PAGEREF _Toc526498354 \h </w:instrText>
            </w:r>
            <w:r w:rsidR="00645D15">
              <w:rPr>
                <w:noProof/>
                <w:webHidden/>
              </w:rPr>
            </w:r>
            <w:r w:rsidR="00645D15">
              <w:rPr>
                <w:noProof/>
                <w:webHidden/>
              </w:rPr>
              <w:fldChar w:fldCharType="separate"/>
            </w:r>
            <w:r w:rsidR="00645D15">
              <w:rPr>
                <w:noProof/>
                <w:webHidden/>
              </w:rPr>
              <w:t>5</w:t>
            </w:r>
            <w:r w:rsidR="00645D15">
              <w:rPr>
                <w:noProof/>
                <w:webHidden/>
              </w:rPr>
              <w:fldChar w:fldCharType="end"/>
            </w:r>
          </w:hyperlink>
        </w:p>
        <w:p w14:paraId="73E440B5" w14:textId="3D2D6A30"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55" w:history="1">
            <w:r w:rsidR="00645D15" w:rsidRPr="000E5C4E">
              <w:rPr>
                <w:rStyle w:val="Hyperlink"/>
                <w:noProof/>
              </w:rPr>
              <w:t>2.1</w:t>
            </w:r>
            <w:r w:rsidR="00645D15">
              <w:rPr>
                <w:rFonts w:eastAsiaTheme="minorEastAsia" w:cstheme="minorBidi"/>
                <w:smallCaps w:val="0"/>
                <w:noProof/>
                <w:sz w:val="22"/>
                <w:szCs w:val="22"/>
                <w:lang w:eastAsia="en-GB" w:bidi="ar-SA"/>
              </w:rPr>
              <w:tab/>
            </w:r>
            <w:r w:rsidR="00645D15" w:rsidRPr="000E5C4E">
              <w:rPr>
                <w:rStyle w:val="Hyperlink"/>
                <w:noProof/>
              </w:rPr>
              <w:t>Description of the substance</w:t>
            </w:r>
            <w:r w:rsidR="00645D15">
              <w:rPr>
                <w:noProof/>
                <w:webHidden/>
              </w:rPr>
              <w:tab/>
            </w:r>
            <w:r w:rsidR="00645D15">
              <w:rPr>
                <w:noProof/>
                <w:webHidden/>
              </w:rPr>
              <w:fldChar w:fldCharType="begin"/>
            </w:r>
            <w:r w:rsidR="00645D15">
              <w:rPr>
                <w:noProof/>
                <w:webHidden/>
              </w:rPr>
              <w:instrText xml:space="preserve"> PAGEREF _Toc526498355 \h </w:instrText>
            </w:r>
            <w:r w:rsidR="00645D15">
              <w:rPr>
                <w:noProof/>
                <w:webHidden/>
              </w:rPr>
            </w:r>
            <w:r w:rsidR="00645D15">
              <w:rPr>
                <w:noProof/>
                <w:webHidden/>
              </w:rPr>
              <w:fldChar w:fldCharType="separate"/>
            </w:r>
            <w:r w:rsidR="00645D15">
              <w:rPr>
                <w:noProof/>
                <w:webHidden/>
              </w:rPr>
              <w:t>5</w:t>
            </w:r>
            <w:r w:rsidR="00645D15">
              <w:rPr>
                <w:noProof/>
                <w:webHidden/>
              </w:rPr>
              <w:fldChar w:fldCharType="end"/>
            </w:r>
          </w:hyperlink>
        </w:p>
        <w:p w14:paraId="16934A74" w14:textId="2973FE53" w:rsidR="00645D15" w:rsidRDefault="00BD09F0">
          <w:pPr>
            <w:pStyle w:val="TOC3"/>
            <w:rPr>
              <w:rFonts w:eastAsiaTheme="minorEastAsia" w:cstheme="minorBidi"/>
              <w:i w:val="0"/>
              <w:iCs w:val="0"/>
              <w:noProof/>
              <w:sz w:val="22"/>
              <w:szCs w:val="22"/>
              <w:lang w:eastAsia="en-GB" w:bidi="ar-SA"/>
            </w:rPr>
          </w:pPr>
          <w:hyperlink w:anchor="_Toc526498356" w:history="1">
            <w:r w:rsidR="00645D15" w:rsidRPr="000E5C4E">
              <w:rPr>
                <w:rStyle w:val="Hyperlink"/>
                <w:noProof/>
              </w:rPr>
              <w:t>2.1.1</w:t>
            </w:r>
            <w:r w:rsidR="00645D15">
              <w:rPr>
                <w:rFonts w:eastAsiaTheme="minorEastAsia" w:cstheme="minorBidi"/>
                <w:i w:val="0"/>
                <w:iCs w:val="0"/>
                <w:noProof/>
                <w:sz w:val="22"/>
                <w:szCs w:val="22"/>
                <w:lang w:eastAsia="en-GB" w:bidi="ar-SA"/>
              </w:rPr>
              <w:tab/>
            </w:r>
            <w:r w:rsidR="00645D15" w:rsidRPr="000E5C4E">
              <w:rPr>
                <w:rStyle w:val="Hyperlink"/>
                <w:noProof/>
              </w:rPr>
              <w:t>Identity</w:t>
            </w:r>
            <w:r w:rsidR="00645D15">
              <w:rPr>
                <w:noProof/>
                <w:webHidden/>
              </w:rPr>
              <w:tab/>
            </w:r>
            <w:r w:rsidR="00645D15">
              <w:rPr>
                <w:noProof/>
                <w:webHidden/>
              </w:rPr>
              <w:fldChar w:fldCharType="begin"/>
            </w:r>
            <w:r w:rsidR="00645D15">
              <w:rPr>
                <w:noProof/>
                <w:webHidden/>
              </w:rPr>
              <w:instrText xml:space="preserve"> PAGEREF _Toc526498356 \h </w:instrText>
            </w:r>
            <w:r w:rsidR="00645D15">
              <w:rPr>
                <w:noProof/>
                <w:webHidden/>
              </w:rPr>
            </w:r>
            <w:r w:rsidR="00645D15">
              <w:rPr>
                <w:noProof/>
                <w:webHidden/>
              </w:rPr>
              <w:fldChar w:fldCharType="separate"/>
            </w:r>
            <w:r w:rsidR="00645D15">
              <w:rPr>
                <w:noProof/>
                <w:webHidden/>
              </w:rPr>
              <w:t>6</w:t>
            </w:r>
            <w:r w:rsidR="00645D15">
              <w:rPr>
                <w:noProof/>
                <w:webHidden/>
              </w:rPr>
              <w:fldChar w:fldCharType="end"/>
            </w:r>
          </w:hyperlink>
        </w:p>
        <w:p w14:paraId="2B9C10CB" w14:textId="53FA2245" w:rsidR="00645D15" w:rsidRDefault="00BD09F0">
          <w:pPr>
            <w:pStyle w:val="TOC3"/>
            <w:rPr>
              <w:rFonts w:eastAsiaTheme="minorEastAsia" w:cstheme="minorBidi"/>
              <w:i w:val="0"/>
              <w:iCs w:val="0"/>
              <w:noProof/>
              <w:sz w:val="22"/>
              <w:szCs w:val="22"/>
              <w:lang w:eastAsia="en-GB" w:bidi="ar-SA"/>
            </w:rPr>
          </w:pPr>
          <w:hyperlink w:anchor="_Toc526498357" w:history="1">
            <w:r w:rsidR="00645D15" w:rsidRPr="000E5C4E">
              <w:rPr>
                <w:rStyle w:val="Hyperlink"/>
                <w:noProof/>
              </w:rPr>
              <w:t>2.1.2</w:t>
            </w:r>
            <w:r w:rsidR="00645D15">
              <w:rPr>
                <w:rFonts w:eastAsiaTheme="minorEastAsia" w:cstheme="minorBidi"/>
                <w:i w:val="0"/>
                <w:iCs w:val="0"/>
                <w:noProof/>
                <w:sz w:val="22"/>
                <w:szCs w:val="22"/>
                <w:lang w:eastAsia="en-GB" w:bidi="ar-SA"/>
              </w:rPr>
              <w:tab/>
            </w:r>
            <w:r w:rsidR="00645D15" w:rsidRPr="000E5C4E">
              <w:rPr>
                <w:rStyle w:val="Hyperlink"/>
                <w:noProof/>
              </w:rPr>
              <w:t>Technological purpose</w:t>
            </w:r>
            <w:r w:rsidR="00645D15">
              <w:rPr>
                <w:noProof/>
                <w:webHidden/>
              </w:rPr>
              <w:tab/>
            </w:r>
            <w:r w:rsidR="00645D15">
              <w:rPr>
                <w:noProof/>
                <w:webHidden/>
              </w:rPr>
              <w:fldChar w:fldCharType="begin"/>
            </w:r>
            <w:r w:rsidR="00645D15">
              <w:rPr>
                <w:noProof/>
                <w:webHidden/>
              </w:rPr>
              <w:instrText xml:space="preserve"> PAGEREF _Toc526498357 \h </w:instrText>
            </w:r>
            <w:r w:rsidR="00645D15">
              <w:rPr>
                <w:noProof/>
                <w:webHidden/>
              </w:rPr>
            </w:r>
            <w:r w:rsidR="00645D15">
              <w:rPr>
                <w:noProof/>
                <w:webHidden/>
              </w:rPr>
              <w:fldChar w:fldCharType="separate"/>
            </w:r>
            <w:r w:rsidR="00645D15">
              <w:rPr>
                <w:noProof/>
                <w:webHidden/>
              </w:rPr>
              <w:t>6</w:t>
            </w:r>
            <w:r w:rsidR="00645D15">
              <w:rPr>
                <w:noProof/>
                <w:webHidden/>
              </w:rPr>
              <w:fldChar w:fldCharType="end"/>
            </w:r>
          </w:hyperlink>
        </w:p>
        <w:p w14:paraId="1D3D0E9F" w14:textId="4AA69CAF" w:rsidR="00645D15" w:rsidRDefault="00BD09F0">
          <w:pPr>
            <w:pStyle w:val="TOC3"/>
            <w:rPr>
              <w:rFonts w:eastAsiaTheme="minorEastAsia" w:cstheme="minorBidi"/>
              <w:i w:val="0"/>
              <w:iCs w:val="0"/>
              <w:noProof/>
              <w:sz w:val="22"/>
              <w:szCs w:val="22"/>
              <w:lang w:eastAsia="en-GB" w:bidi="ar-SA"/>
            </w:rPr>
          </w:pPr>
          <w:hyperlink w:anchor="_Toc526498358" w:history="1">
            <w:r w:rsidR="00645D15" w:rsidRPr="000E5C4E">
              <w:rPr>
                <w:rStyle w:val="Hyperlink"/>
                <w:noProof/>
              </w:rPr>
              <w:t>2.1.3</w:t>
            </w:r>
            <w:r w:rsidR="00645D15">
              <w:rPr>
                <w:rFonts w:eastAsiaTheme="minorEastAsia" w:cstheme="minorBidi"/>
                <w:i w:val="0"/>
                <w:iCs w:val="0"/>
                <w:noProof/>
                <w:sz w:val="22"/>
                <w:szCs w:val="22"/>
                <w:lang w:eastAsia="en-GB" w:bidi="ar-SA"/>
              </w:rPr>
              <w:tab/>
            </w:r>
            <w:r w:rsidR="00645D15" w:rsidRPr="000E5C4E">
              <w:rPr>
                <w:rStyle w:val="Hyperlink"/>
                <w:noProof/>
              </w:rPr>
              <w:t>Technological justification</w:t>
            </w:r>
            <w:r w:rsidR="00645D15">
              <w:rPr>
                <w:noProof/>
                <w:webHidden/>
              </w:rPr>
              <w:tab/>
            </w:r>
            <w:r w:rsidR="00645D15">
              <w:rPr>
                <w:noProof/>
                <w:webHidden/>
              </w:rPr>
              <w:fldChar w:fldCharType="begin"/>
            </w:r>
            <w:r w:rsidR="00645D15">
              <w:rPr>
                <w:noProof/>
                <w:webHidden/>
              </w:rPr>
              <w:instrText xml:space="preserve"> PAGEREF _Toc526498358 \h </w:instrText>
            </w:r>
            <w:r w:rsidR="00645D15">
              <w:rPr>
                <w:noProof/>
                <w:webHidden/>
              </w:rPr>
            </w:r>
            <w:r w:rsidR="00645D15">
              <w:rPr>
                <w:noProof/>
                <w:webHidden/>
              </w:rPr>
              <w:fldChar w:fldCharType="separate"/>
            </w:r>
            <w:r w:rsidR="00645D15">
              <w:rPr>
                <w:noProof/>
                <w:webHidden/>
              </w:rPr>
              <w:t>7</w:t>
            </w:r>
            <w:r w:rsidR="00645D15">
              <w:rPr>
                <w:noProof/>
                <w:webHidden/>
              </w:rPr>
              <w:fldChar w:fldCharType="end"/>
            </w:r>
          </w:hyperlink>
        </w:p>
        <w:p w14:paraId="4A669931" w14:textId="6C729738"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59" w:history="1">
            <w:r w:rsidR="00645D15" w:rsidRPr="000E5C4E">
              <w:rPr>
                <w:rStyle w:val="Hyperlink"/>
                <w:noProof/>
              </w:rPr>
              <w:t>2.2</w:t>
            </w:r>
            <w:r w:rsidR="00645D15">
              <w:rPr>
                <w:rFonts w:eastAsiaTheme="minorEastAsia" w:cstheme="minorBidi"/>
                <w:smallCaps w:val="0"/>
                <w:noProof/>
                <w:sz w:val="22"/>
                <w:szCs w:val="22"/>
                <w:lang w:eastAsia="en-GB" w:bidi="ar-SA"/>
              </w:rPr>
              <w:tab/>
            </w:r>
            <w:r w:rsidR="00645D15" w:rsidRPr="000E5C4E">
              <w:rPr>
                <w:rStyle w:val="Hyperlink"/>
                <w:noProof/>
              </w:rPr>
              <w:t>Chemical properties</w:t>
            </w:r>
            <w:r w:rsidR="00645D15">
              <w:rPr>
                <w:noProof/>
                <w:webHidden/>
              </w:rPr>
              <w:tab/>
            </w:r>
            <w:r w:rsidR="00645D15">
              <w:rPr>
                <w:noProof/>
                <w:webHidden/>
              </w:rPr>
              <w:fldChar w:fldCharType="begin"/>
            </w:r>
            <w:r w:rsidR="00645D15">
              <w:rPr>
                <w:noProof/>
                <w:webHidden/>
              </w:rPr>
              <w:instrText xml:space="preserve"> PAGEREF _Toc526498359 \h </w:instrText>
            </w:r>
            <w:r w:rsidR="00645D15">
              <w:rPr>
                <w:noProof/>
                <w:webHidden/>
              </w:rPr>
            </w:r>
            <w:r w:rsidR="00645D15">
              <w:rPr>
                <w:noProof/>
                <w:webHidden/>
              </w:rPr>
              <w:fldChar w:fldCharType="separate"/>
            </w:r>
            <w:r w:rsidR="00645D15">
              <w:rPr>
                <w:noProof/>
                <w:webHidden/>
              </w:rPr>
              <w:t>8</w:t>
            </w:r>
            <w:r w:rsidR="00645D15">
              <w:rPr>
                <w:noProof/>
                <w:webHidden/>
              </w:rPr>
              <w:fldChar w:fldCharType="end"/>
            </w:r>
          </w:hyperlink>
        </w:p>
        <w:p w14:paraId="5D0FC5D0" w14:textId="73E493B9"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60" w:history="1">
            <w:r w:rsidR="00645D15" w:rsidRPr="000E5C4E">
              <w:rPr>
                <w:rStyle w:val="Hyperlink"/>
                <w:noProof/>
              </w:rPr>
              <w:t>2.3</w:t>
            </w:r>
            <w:r w:rsidR="00645D15">
              <w:rPr>
                <w:rFonts w:eastAsiaTheme="minorEastAsia" w:cstheme="minorBidi"/>
                <w:smallCaps w:val="0"/>
                <w:noProof/>
                <w:sz w:val="22"/>
                <w:szCs w:val="22"/>
                <w:lang w:eastAsia="en-GB" w:bidi="ar-SA"/>
              </w:rPr>
              <w:tab/>
            </w:r>
            <w:r w:rsidR="00645D15" w:rsidRPr="000E5C4E">
              <w:rPr>
                <w:rStyle w:val="Hyperlink"/>
                <w:noProof/>
              </w:rPr>
              <w:t>Manufacturing process</w:t>
            </w:r>
            <w:r w:rsidR="00645D15">
              <w:rPr>
                <w:noProof/>
                <w:webHidden/>
              </w:rPr>
              <w:tab/>
            </w:r>
            <w:r w:rsidR="00645D15">
              <w:rPr>
                <w:noProof/>
                <w:webHidden/>
              </w:rPr>
              <w:fldChar w:fldCharType="begin"/>
            </w:r>
            <w:r w:rsidR="00645D15">
              <w:rPr>
                <w:noProof/>
                <w:webHidden/>
              </w:rPr>
              <w:instrText xml:space="preserve"> PAGEREF _Toc526498360 \h </w:instrText>
            </w:r>
            <w:r w:rsidR="00645D15">
              <w:rPr>
                <w:noProof/>
                <w:webHidden/>
              </w:rPr>
            </w:r>
            <w:r w:rsidR="00645D15">
              <w:rPr>
                <w:noProof/>
                <w:webHidden/>
              </w:rPr>
              <w:fldChar w:fldCharType="separate"/>
            </w:r>
            <w:r w:rsidR="00645D15">
              <w:rPr>
                <w:noProof/>
                <w:webHidden/>
              </w:rPr>
              <w:t>8</w:t>
            </w:r>
            <w:r w:rsidR="00645D15">
              <w:rPr>
                <w:noProof/>
                <w:webHidden/>
              </w:rPr>
              <w:fldChar w:fldCharType="end"/>
            </w:r>
          </w:hyperlink>
        </w:p>
        <w:p w14:paraId="4124B4AC" w14:textId="0FA223A5" w:rsidR="00645D15" w:rsidRDefault="00BD09F0">
          <w:pPr>
            <w:pStyle w:val="TOC3"/>
            <w:rPr>
              <w:rFonts w:eastAsiaTheme="minorEastAsia" w:cstheme="minorBidi"/>
              <w:i w:val="0"/>
              <w:iCs w:val="0"/>
              <w:noProof/>
              <w:sz w:val="22"/>
              <w:szCs w:val="22"/>
              <w:lang w:eastAsia="en-GB" w:bidi="ar-SA"/>
            </w:rPr>
          </w:pPr>
          <w:hyperlink w:anchor="_Toc526498361" w:history="1">
            <w:r w:rsidR="00645D15" w:rsidRPr="000E5C4E">
              <w:rPr>
                <w:rStyle w:val="Hyperlink"/>
                <w:noProof/>
              </w:rPr>
              <w:t>2.3.1</w:t>
            </w:r>
            <w:r w:rsidR="00645D15">
              <w:rPr>
                <w:rFonts w:eastAsiaTheme="minorEastAsia" w:cstheme="minorBidi"/>
                <w:i w:val="0"/>
                <w:iCs w:val="0"/>
                <w:noProof/>
                <w:sz w:val="22"/>
                <w:szCs w:val="22"/>
                <w:lang w:eastAsia="en-GB" w:bidi="ar-SA"/>
              </w:rPr>
              <w:tab/>
            </w:r>
            <w:r w:rsidR="00645D15" w:rsidRPr="000E5C4E">
              <w:rPr>
                <w:rStyle w:val="Hyperlink"/>
                <w:noProof/>
              </w:rPr>
              <w:t>Description</w:t>
            </w:r>
            <w:r w:rsidR="00645D15">
              <w:rPr>
                <w:noProof/>
                <w:webHidden/>
              </w:rPr>
              <w:tab/>
            </w:r>
            <w:r w:rsidR="00645D15">
              <w:rPr>
                <w:noProof/>
                <w:webHidden/>
              </w:rPr>
              <w:fldChar w:fldCharType="begin"/>
            </w:r>
            <w:r w:rsidR="00645D15">
              <w:rPr>
                <w:noProof/>
                <w:webHidden/>
              </w:rPr>
              <w:instrText xml:space="preserve"> PAGEREF _Toc526498361 \h </w:instrText>
            </w:r>
            <w:r w:rsidR="00645D15">
              <w:rPr>
                <w:noProof/>
                <w:webHidden/>
              </w:rPr>
            </w:r>
            <w:r w:rsidR="00645D15">
              <w:rPr>
                <w:noProof/>
                <w:webHidden/>
              </w:rPr>
              <w:fldChar w:fldCharType="separate"/>
            </w:r>
            <w:r w:rsidR="00645D15">
              <w:rPr>
                <w:noProof/>
                <w:webHidden/>
              </w:rPr>
              <w:t>8</w:t>
            </w:r>
            <w:r w:rsidR="00645D15">
              <w:rPr>
                <w:noProof/>
                <w:webHidden/>
              </w:rPr>
              <w:fldChar w:fldCharType="end"/>
            </w:r>
          </w:hyperlink>
        </w:p>
        <w:p w14:paraId="38340AD8" w14:textId="6BD06C0E" w:rsidR="00645D15" w:rsidRDefault="00BD09F0">
          <w:pPr>
            <w:pStyle w:val="TOC3"/>
            <w:rPr>
              <w:rFonts w:eastAsiaTheme="minorEastAsia" w:cstheme="minorBidi"/>
              <w:i w:val="0"/>
              <w:iCs w:val="0"/>
              <w:noProof/>
              <w:sz w:val="22"/>
              <w:szCs w:val="22"/>
              <w:lang w:eastAsia="en-GB" w:bidi="ar-SA"/>
            </w:rPr>
          </w:pPr>
          <w:hyperlink w:anchor="_Toc526498362" w:history="1">
            <w:r w:rsidR="00645D15" w:rsidRPr="000E5C4E">
              <w:rPr>
                <w:rStyle w:val="Hyperlink"/>
                <w:noProof/>
              </w:rPr>
              <w:t>2.3.2</w:t>
            </w:r>
            <w:r w:rsidR="00645D15">
              <w:rPr>
                <w:rFonts w:eastAsiaTheme="minorEastAsia" w:cstheme="minorBidi"/>
                <w:i w:val="0"/>
                <w:iCs w:val="0"/>
                <w:noProof/>
                <w:sz w:val="22"/>
                <w:szCs w:val="22"/>
                <w:lang w:eastAsia="en-GB" w:bidi="ar-SA"/>
              </w:rPr>
              <w:tab/>
            </w:r>
            <w:r w:rsidR="00645D15" w:rsidRPr="000E5C4E">
              <w:rPr>
                <w:rStyle w:val="Hyperlink"/>
                <w:noProof/>
              </w:rPr>
              <w:t>Product specification</w:t>
            </w:r>
            <w:r w:rsidR="00645D15">
              <w:rPr>
                <w:noProof/>
                <w:webHidden/>
              </w:rPr>
              <w:tab/>
            </w:r>
            <w:r w:rsidR="00645D15">
              <w:rPr>
                <w:noProof/>
                <w:webHidden/>
              </w:rPr>
              <w:fldChar w:fldCharType="begin"/>
            </w:r>
            <w:r w:rsidR="00645D15">
              <w:rPr>
                <w:noProof/>
                <w:webHidden/>
              </w:rPr>
              <w:instrText xml:space="preserve"> PAGEREF _Toc526498362 \h </w:instrText>
            </w:r>
            <w:r w:rsidR="00645D15">
              <w:rPr>
                <w:noProof/>
                <w:webHidden/>
              </w:rPr>
            </w:r>
            <w:r w:rsidR="00645D15">
              <w:rPr>
                <w:noProof/>
                <w:webHidden/>
              </w:rPr>
              <w:fldChar w:fldCharType="separate"/>
            </w:r>
            <w:r w:rsidR="00645D15">
              <w:rPr>
                <w:noProof/>
                <w:webHidden/>
              </w:rPr>
              <w:t>8</w:t>
            </w:r>
            <w:r w:rsidR="00645D15">
              <w:rPr>
                <w:noProof/>
                <w:webHidden/>
              </w:rPr>
              <w:fldChar w:fldCharType="end"/>
            </w:r>
          </w:hyperlink>
        </w:p>
        <w:p w14:paraId="3F90CA93" w14:textId="1A682D65"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63" w:history="1">
            <w:r w:rsidR="00645D15" w:rsidRPr="000E5C4E">
              <w:rPr>
                <w:rStyle w:val="Hyperlink"/>
                <w:noProof/>
              </w:rPr>
              <w:t>2.4</w:t>
            </w:r>
            <w:r w:rsidR="00645D15">
              <w:rPr>
                <w:rFonts w:eastAsiaTheme="minorEastAsia" w:cstheme="minorBidi"/>
                <w:smallCaps w:val="0"/>
                <w:noProof/>
                <w:sz w:val="22"/>
                <w:szCs w:val="22"/>
                <w:lang w:eastAsia="en-GB" w:bidi="ar-SA"/>
              </w:rPr>
              <w:tab/>
            </w:r>
            <w:r w:rsidR="00645D15" w:rsidRPr="000E5C4E">
              <w:rPr>
                <w:rStyle w:val="Hyperlink"/>
                <w:noProof/>
              </w:rPr>
              <w:t>Analytical method for detection</w:t>
            </w:r>
            <w:r w:rsidR="00645D15">
              <w:rPr>
                <w:noProof/>
                <w:webHidden/>
              </w:rPr>
              <w:tab/>
            </w:r>
            <w:r w:rsidR="00645D15">
              <w:rPr>
                <w:noProof/>
                <w:webHidden/>
              </w:rPr>
              <w:fldChar w:fldCharType="begin"/>
            </w:r>
            <w:r w:rsidR="00645D15">
              <w:rPr>
                <w:noProof/>
                <w:webHidden/>
              </w:rPr>
              <w:instrText xml:space="preserve"> PAGEREF _Toc526498363 \h </w:instrText>
            </w:r>
            <w:r w:rsidR="00645D15">
              <w:rPr>
                <w:noProof/>
                <w:webHidden/>
              </w:rPr>
            </w:r>
            <w:r w:rsidR="00645D15">
              <w:rPr>
                <w:noProof/>
                <w:webHidden/>
              </w:rPr>
              <w:fldChar w:fldCharType="separate"/>
            </w:r>
            <w:r w:rsidR="00645D15">
              <w:rPr>
                <w:noProof/>
                <w:webHidden/>
              </w:rPr>
              <w:t>9</w:t>
            </w:r>
            <w:r w:rsidR="00645D15">
              <w:rPr>
                <w:noProof/>
                <w:webHidden/>
              </w:rPr>
              <w:fldChar w:fldCharType="end"/>
            </w:r>
          </w:hyperlink>
        </w:p>
        <w:p w14:paraId="30B83588" w14:textId="4096DDFA"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64" w:history="1">
            <w:r w:rsidR="00645D15" w:rsidRPr="000E5C4E">
              <w:rPr>
                <w:rStyle w:val="Hyperlink"/>
                <w:noProof/>
              </w:rPr>
              <w:t>2.5</w:t>
            </w:r>
            <w:r w:rsidR="00645D15">
              <w:rPr>
                <w:rFonts w:eastAsiaTheme="minorEastAsia" w:cstheme="minorBidi"/>
                <w:smallCaps w:val="0"/>
                <w:noProof/>
                <w:sz w:val="22"/>
                <w:szCs w:val="22"/>
                <w:lang w:eastAsia="en-GB" w:bidi="ar-SA"/>
              </w:rPr>
              <w:tab/>
            </w:r>
            <w:r w:rsidR="00645D15" w:rsidRPr="000E5C4E">
              <w:rPr>
                <w:rStyle w:val="Hyperlink"/>
                <w:noProof/>
              </w:rPr>
              <w:t>Food technology conclusion</w:t>
            </w:r>
            <w:r w:rsidR="00645D15">
              <w:rPr>
                <w:noProof/>
                <w:webHidden/>
              </w:rPr>
              <w:tab/>
            </w:r>
            <w:r w:rsidR="00645D15">
              <w:rPr>
                <w:noProof/>
                <w:webHidden/>
              </w:rPr>
              <w:fldChar w:fldCharType="begin"/>
            </w:r>
            <w:r w:rsidR="00645D15">
              <w:rPr>
                <w:noProof/>
                <w:webHidden/>
              </w:rPr>
              <w:instrText xml:space="preserve"> PAGEREF _Toc526498364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25EA6ADD" w14:textId="4BB5FF08" w:rsidR="00645D15" w:rsidRDefault="00BD09F0">
          <w:pPr>
            <w:pStyle w:val="TOC1"/>
            <w:rPr>
              <w:rFonts w:eastAsiaTheme="minorEastAsia" w:cstheme="minorBidi"/>
              <w:b w:val="0"/>
              <w:bCs w:val="0"/>
              <w:caps w:val="0"/>
              <w:noProof/>
              <w:sz w:val="22"/>
              <w:szCs w:val="22"/>
              <w:lang w:eastAsia="en-GB" w:bidi="ar-SA"/>
            </w:rPr>
          </w:pPr>
          <w:hyperlink w:anchor="_Toc526498365" w:history="1">
            <w:r w:rsidR="00645D15" w:rsidRPr="000E5C4E">
              <w:rPr>
                <w:rStyle w:val="Hyperlink"/>
                <w:noProof/>
              </w:rPr>
              <w:t>3</w:t>
            </w:r>
            <w:r w:rsidR="00645D15">
              <w:rPr>
                <w:rFonts w:eastAsiaTheme="minorEastAsia" w:cstheme="minorBidi"/>
                <w:b w:val="0"/>
                <w:bCs w:val="0"/>
                <w:caps w:val="0"/>
                <w:noProof/>
                <w:sz w:val="22"/>
                <w:szCs w:val="22"/>
                <w:lang w:eastAsia="en-GB" w:bidi="ar-SA"/>
              </w:rPr>
              <w:tab/>
            </w:r>
            <w:r w:rsidR="00645D15" w:rsidRPr="000E5C4E">
              <w:rPr>
                <w:rStyle w:val="Hyperlink"/>
                <w:noProof/>
              </w:rPr>
              <w:t>Hazard Assessment</w:t>
            </w:r>
            <w:r w:rsidR="00645D15">
              <w:rPr>
                <w:noProof/>
                <w:webHidden/>
              </w:rPr>
              <w:tab/>
            </w:r>
            <w:r w:rsidR="00645D15">
              <w:rPr>
                <w:noProof/>
                <w:webHidden/>
              </w:rPr>
              <w:fldChar w:fldCharType="begin"/>
            </w:r>
            <w:r w:rsidR="00645D15">
              <w:rPr>
                <w:noProof/>
                <w:webHidden/>
              </w:rPr>
              <w:instrText xml:space="preserve"> PAGEREF _Toc526498365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2D126C90" w14:textId="0D89668D"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66" w:history="1">
            <w:r w:rsidR="00645D15" w:rsidRPr="000E5C4E">
              <w:rPr>
                <w:rStyle w:val="Hyperlink"/>
                <w:noProof/>
              </w:rPr>
              <w:t>3.1</w:t>
            </w:r>
            <w:r w:rsidR="00645D15">
              <w:rPr>
                <w:rFonts w:eastAsiaTheme="minorEastAsia" w:cstheme="minorBidi"/>
                <w:smallCaps w:val="0"/>
                <w:noProof/>
                <w:sz w:val="22"/>
                <w:szCs w:val="22"/>
                <w:lang w:eastAsia="en-GB" w:bidi="ar-SA"/>
              </w:rPr>
              <w:tab/>
            </w:r>
            <w:r w:rsidR="00645D15" w:rsidRPr="000E5C4E">
              <w:rPr>
                <w:rStyle w:val="Hyperlink"/>
                <w:noProof/>
              </w:rPr>
              <w:t>Background</w:t>
            </w:r>
            <w:r w:rsidR="00645D15">
              <w:rPr>
                <w:noProof/>
                <w:webHidden/>
              </w:rPr>
              <w:tab/>
            </w:r>
            <w:r w:rsidR="00645D15">
              <w:rPr>
                <w:noProof/>
                <w:webHidden/>
              </w:rPr>
              <w:fldChar w:fldCharType="begin"/>
            </w:r>
            <w:r w:rsidR="00645D15">
              <w:rPr>
                <w:noProof/>
                <w:webHidden/>
              </w:rPr>
              <w:instrText xml:space="preserve"> PAGEREF _Toc526498366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36DBA6B5" w14:textId="1B95485F" w:rsidR="00645D15" w:rsidRDefault="00BD09F0">
          <w:pPr>
            <w:pStyle w:val="TOC3"/>
            <w:rPr>
              <w:rFonts w:eastAsiaTheme="minorEastAsia" w:cstheme="minorBidi"/>
              <w:i w:val="0"/>
              <w:iCs w:val="0"/>
              <w:noProof/>
              <w:sz w:val="22"/>
              <w:szCs w:val="22"/>
              <w:lang w:eastAsia="en-GB" w:bidi="ar-SA"/>
            </w:rPr>
          </w:pPr>
          <w:hyperlink w:anchor="_Toc526498367" w:history="1">
            <w:r w:rsidR="00645D15" w:rsidRPr="000E5C4E">
              <w:rPr>
                <w:rStyle w:val="Hyperlink"/>
                <w:noProof/>
              </w:rPr>
              <w:t>3.1.1</w:t>
            </w:r>
            <w:r w:rsidR="00645D15">
              <w:rPr>
                <w:rFonts w:eastAsiaTheme="minorEastAsia" w:cstheme="minorBidi"/>
                <w:i w:val="0"/>
                <w:iCs w:val="0"/>
                <w:noProof/>
                <w:sz w:val="22"/>
                <w:szCs w:val="22"/>
                <w:lang w:eastAsia="en-GB" w:bidi="ar-SA"/>
              </w:rPr>
              <w:tab/>
            </w:r>
            <w:r w:rsidR="00645D15" w:rsidRPr="000E5C4E">
              <w:rPr>
                <w:rStyle w:val="Hyperlink"/>
                <w:noProof/>
              </w:rPr>
              <w:t>Evaluation of the submitted data</w:t>
            </w:r>
            <w:r w:rsidR="00645D15">
              <w:rPr>
                <w:noProof/>
                <w:webHidden/>
              </w:rPr>
              <w:tab/>
            </w:r>
            <w:r w:rsidR="00645D15">
              <w:rPr>
                <w:noProof/>
                <w:webHidden/>
              </w:rPr>
              <w:fldChar w:fldCharType="begin"/>
            </w:r>
            <w:r w:rsidR="00645D15">
              <w:rPr>
                <w:noProof/>
                <w:webHidden/>
              </w:rPr>
              <w:instrText xml:space="preserve"> PAGEREF _Toc526498367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239731CA" w14:textId="141DB877" w:rsidR="00645D15" w:rsidRDefault="00BD09F0">
          <w:pPr>
            <w:pStyle w:val="TOC3"/>
            <w:rPr>
              <w:rFonts w:eastAsiaTheme="minorEastAsia" w:cstheme="minorBidi"/>
              <w:i w:val="0"/>
              <w:iCs w:val="0"/>
              <w:noProof/>
              <w:sz w:val="22"/>
              <w:szCs w:val="22"/>
              <w:lang w:eastAsia="en-GB" w:bidi="ar-SA"/>
            </w:rPr>
          </w:pPr>
          <w:hyperlink w:anchor="_Toc526498368" w:history="1">
            <w:r w:rsidR="00645D15" w:rsidRPr="000E5C4E">
              <w:rPr>
                <w:rStyle w:val="Hyperlink"/>
                <w:noProof/>
              </w:rPr>
              <w:t>3.1.2</w:t>
            </w:r>
            <w:r w:rsidR="00645D15">
              <w:rPr>
                <w:rFonts w:eastAsiaTheme="minorEastAsia" w:cstheme="minorBidi"/>
                <w:i w:val="0"/>
                <w:iCs w:val="0"/>
                <w:noProof/>
                <w:sz w:val="22"/>
                <w:szCs w:val="22"/>
                <w:lang w:eastAsia="en-GB" w:bidi="ar-SA"/>
              </w:rPr>
              <w:tab/>
            </w:r>
            <w:r w:rsidR="00645D15" w:rsidRPr="000E5C4E">
              <w:rPr>
                <w:rStyle w:val="Hyperlink"/>
                <w:noProof/>
              </w:rPr>
              <w:t>Characteristics of rosemary extract</w:t>
            </w:r>
            <w:r w:rsidR="00645D15">
              <w:rPr>
                <w:noProof/>
                <w:webHidden/>
              </w:rPr>
              <w:tab/>
            </w:r>
            <w:r w:rsidR="00645D15">
              <w:rPr>
                <w:noProof/>
                <w:webHidden/>
              </w:rPr>
              <w:fldChar w:fldCharType="begin"/>
            </w:r>
            <w:r w:rsidR="00645D15">
              <w:rPr>
                <w:noProof/>
                <w:webHidden/>
              </w:rPr>
              <w:instrText xml:space="preserve"> PAGEREF _Toc526498368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7A5DE985" w14:textId="1BC98E71"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69" w:history="1">
            <w:r w:rsidR="00645D15" w:rsidRPr="000E5C4E">
              <w:rPr>
                <w:rStyle w:val="Hyperlink"/>
                <w:noProof/>
              </w:rPr>
              <w:t>3.2</w:t>
            </w:r>
            <w:r w:rsidR="00645D15">
              <w:rPr>
                <w:rFonts w:eastAsiaTheme="minorEastAsia" w:cstheme="minorBidi"/>
                <w:smallCaps w:val="0"/>
                <w:noProof/>
                <w:sz w:val="22"/>
                <w:szCs w:val="22"/>
                <w:lang w:eastAsia="en-GB" w:bidi="ar-SA"/>
              </w:rPr>
              <w:tab/>
            </w:r>
            <w:r w:rsidR="00645D15" w:rsidRPr="000E5C4E">
              <w:rPr>
                <w:rStyle w:val="Hyperlink"/>
                <w:noProof/>
              </w:rPr>
              <w:t>Toxicological data</w:t>
            </w:r>
            <w:r w:rsidR="00645D15">
              <w:rPr>
                <w:noProof/>
                <w:webHidden/>
              </w:rPr>
              <w:tab/>
            </w:r>
            <w:r w:rsidR="00645D15">
              <w:rPr>
                <w:noProof/>
                <w:webHidden/>
              </w:rPr>
              <w:fldChar w:fldCharType="begin"/>
            </w:r>
            <w:r w:rsidR="00645D15">
              <w:rPr>
                <w:noProof/>
                <w:webHidden/>
              </w:rPr>
              <w:instrText xml:space="preserve"> PAGEREF _Toc526498369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7FD49D08" w14:textId="6F4A8228" w:rsidR="00645D15" w:rsidRDefault="00BD09F0">
          <w:pPr>
            <w:pStyle w:val="TOC3"/>
            <w:rPr>
              <w:rFonts w:eastAsiaTheme="minorEastAsia" w:cstheme="minorBidi"/>
              <w:i w:val="0"/>
              <w:iCs w:val="0"/>
              <w:noProof/>
              <w:sz w:val="22"/>
              <w:szCs w:val="22"/>
              <w:lang w:eastAsia="en-GB" w:bidi="ar-SA"/>
            </w:rPr>
          </w:pPr>
          <w:hyperlink w:anchor="_Toc526498370" w:history="1">
            <w:r w:rsidR="00645D15" w:rsidRPr="000E5C4E">
              <w:rPr>
                <w:rStyle w:val="Hyperlink"/>
                <w:noProof/>
              </w:rPr>
              <w:t>3.2.1</w:t>
            </w:r>
            <w:r w:rsidR="00645D15">
              <w:rPr>
                <w:rFonts w:eastAsiaTheme="minorEastAsia" w:cstheme="minorBidi"/>
                <w:i w:val="0"/>
                <w:iCs w:val="0"/>
                <w:noProof/>
                <w:sz w:val="22"/>
                <w:szCs w:val="22"/>
                <w:lang w:eastAsia="en-GB" w:bidi="ar-SA"/>
              </w:rPr>
              <w:tab/>
            </w:r>
            <w:r w:rsidR="00645D15" w:rsidRPr="000E5C4E">
              <w:rPr>
                <w:rStyle w:val="Hyperlink"/>
                <w:noProof/>
              </w:rPr>
              <w:t>Toxicokinetics and metabolism</w:t>
            </w:r>
            <w:r w:rsidR="00645D15">
              <w:rPr>
                <w:noProof/>
                <w:webHidden/>
              </w:rPr>
              <w:tab/>
            </w:r>
            <w:r w:rsidR="00645D15">
              <w:rPr>
                <w:noProof/>
                <w:webHidden/>
              </w:rPr>
              <w:fldChar w:fldCharType="begin"/>
            </w:r>
            <w:r w:rsidR="00645D15">
              <w:rPr>
                <w:noProof/>
                <w:webHidden/>
              </w:rPr>
              <w:instrText xml:space="preserve"> PAGEREF _Toc526498370 \h </w:instrText>
            </w:r>
            <w:r w:rsidR="00645D15">
              <w:rPr>
                <w:noProof/>
                <w:webHidden/>
              </w:rPr>
            </w:r>
            <w:r w:rsidR="00645D15">
              <w:rPr>
                <w:noProof/>
                <w:webHidden/>
              </w:rPr>
              <w:fldChar w:fldCharType="separate"/>
            </w:r>
            <w:r w:rsidR="00645D15">
              <w:rPr>
                <w:noProof/>
                <w:webHidden/>
              </w:rPr>
              <w:t>10</w:t>
            </w:r>
            <w:r w:rsidR="00645D15">
              <w:rPr>
                <w:noProof/>
                <w:webHidden/>
              </w:rPr>
              <w:fldChar w:fldCharType="end"/>
            </w:r>
          </w:hyperlink>
        </w:p>
        <w:p w14:paraId="1A9936B7" w14:textId="448DB80A" w:rsidR="00645D15" w:rsidRDefault="00BD09F0">
          <w:pPr>
            <w:pStyle w:val="TOC3"/>
            <w:rPr>
              <w:rFonts w:eastAsiaTheme="minorEastAsia" w:cstheme="minorBidi"/>
              <w:i w:val="0"/>
              <w:iCs w:val="0"/>
              <w:noProof/>
              <w:sz w:val="22"/>
              <w:szCs w:val="22"/>
              <w:lang w:eastAsia="en-GB" w:bidi="ar-SA"/>
            </w:rPr>
          </w:pPr>
          <w:hyperlink w:anchor="_Toc526498371" w:history="1">
            <w:r w:rsidR="00645D15" w:rsidRPr="000E5C4E">
              <w:rPr>
                <w:rStyle w:val="Hyperlink"/>
                <w:noProof/>
              </w:rPr>
              <w:t>3.2.2</w:t>
            </w:r>
            <w:r w:rsidR="00645D15">
              <w:rPr>
                <w:rFonts w:eastAsiaTheme="minorEastAsia" w:cstheme="minorBidi"/>
                <w:i w:val="0"/>
                <w:iCs w:val="0"/>
                <w:noProof/>
                <w:sz w:val="22"/>
                <w:szCs w:val="22"/>
                <w:lang w:eastAsia="en-GB" w:bidi="ar-SA"/>
              </w:rPr>
              <w:tab/>
            </w:r>
            <w:r w:rsidR="00645D15" w:rsidRPr="000E5C4E">
              <w:rPr>
                <w:rStyle w:val="Hyperlink"/>
                <w:noProof/>
              </w:rPr>
              <w:t>Short term studies in animals</w:t>
            </w:r>
            <w:r w:rsidR="00645D15">
              <w:rPr>
                <w:noProof/>
                <w:webHidden/>
              </w:rPr>
              <w:tab/>
            </w:r>
            <w:r w:rsidR="00645D15">
              <w:rPr>
                <w:noProof/>
                <w:webHidden/>
              </w:rPr>
              <w:fldChar w:fldCharType="begin"/>
            </w:r>
            <w:r w:rsidR="00645D15">
              <w:rPr>
                <w:noProof/>
                <w:webHidden/>
              </w:rPr>
              <w:instrText xml:space="preserve"> PAGEREF _Toc526498371 \h </w:instrText>
            </w:r>
            <w:r w:rsidR="00645D15">
              <w:rPr>
                <w:noProof/>
                <w:webHidden/>
              </w:rPr>
            </w:r>
            <w:r w:rsidR="00645D15">
              <w:rPr>
                <w:noProof/>
                <w:webHidden/>
              </w:rPr>
              <w:fldChar w:fldCharType="separate"/>
            </w:r>
            <w:r w:rsidR="00645D15">
              <w:rPr>
                <w:noProof/>
                <w:webHidden/>
              </w:rPr>
              <w:t>16</w:t>
            </w:r>
            <w:r w:rsidR="00645D15">
              <w:rPr>
                <w:noProof/>
                <w:webHidden/>
              </w:rPr>
              <w:fldChar w:fldCharType="end"/>
            </w:r>
          </w:hyperlink>
        </w:p>
        <w:p w14:paraId="02D4D93C" w14:textId="766355C2" w:rsidR="00645D15" w:rsidRDefault="00BD09F0">
          <w:pPr>
            <w:pStyle w:val="TOC3"/>
            <w:rPr>
              <w:rFonts w:eastAsiaTheme="minorEastAsia" w:cstheme="minorBidi"/>
              <w:i w:val="0"/>
              <w:iCs w:val="0"/>
              <w:noProof/>
              <w:sz w:val="22"/>
              <w:szCs w:val="22"/>
              <w:lang w:eastAsia="en-GB" w:bidi="ar-SA"/>
            </w:rPr>
          </w:pPr>
          <w:hyperlink w:anchor="_Toc526498372" w:history="1">
            <w:r w:rsidR="00645D15" w:rsidRPr="000E5C4E">
              <w:rPr>
                <w:rStyle w:val="Hyperlink"/>
                <w:noProof/>
              </w:rPr>
              <w:t>3.2.3</w:t>
            </w:r>
            <w:r w:rsidR="00645D15">
              <w:rPr>
                <w:rFonts w:eastAsiaTheme="minorEastAsia" w:cstheme="minorBidi"/>
                <w:i w:val="0"/>
                <w:iCs w:val="0"/>
                <w:noProof/>
                <w:sz w:val="22"/>
                <w:szCs w:val="22"/>
                <w:lang w:eastAsia="en-GB" w:bidi="ar-SA"/>
              </w:rPr>
              <w:tab/>
            </w:r>
            <w:r w:rsidR="00645D15" w:rsidRPr="000E5C4E">
              <w:rPr>
                <w:rStyle w:val="Hyperlink"/>
                <w:noProof/>
              </w:rPr>
              <w:t>Chronic and carcinogenicity studies in animals</w:t>
            </w:r>
            <w:r w:rsidR="00645D15">
              <w:rPr>
                <w:noProof/>
                <w:webHidden/>
              </w:rPr>
              <w:tab/>
            </w:r>
            <w:r w:rsidR="00645D15">
              <w:rPr>
                <w:noProof/>
                <w:webHidden/>
              </w:rPr>
              <w:fldChar w:fldCharType="begin"/>
            </w:r>
            <w:r w:rsidR="00645D15">
              <w:rPr>
                <w:noProof/>
                <w:webHidden/>
              </w:rPr>
              <w:instrText xml:space="preserve"> PAGEREF _Toc526498372 \h </w:instrText>
            </w:r>
            <w:r w:rsidR="00645D15">
              <w:rPr>
                <w:noProof/>
                <w:webHidden/>
              </w:rPr>
            </w:r>
            <w:r w:rsidR="00645D15">
              <w:rPr>
                <w:noProof/>
                <w:webHidden/>
              </w:rPr>
              <w:fldChar w:fldCharType="separate"/>
            </w:r>
            <w:r w:rsidR="00645D15">
              <w:rPr>
                <w:noProof/>
                <w:webHidden/>
              </w:rPr>
              <w:t>18</w:t>
            </w:r>
            <w:r w:rsidR="00645D15">
              <w:rPr>
                <w:noProof/>
                <w:webHidden/>
              </w:rPr>
              <w:fldChar w:fldCharType="end"/>
            </w:r>
          </w:hyperlink>
        </w:p>
        <w:p w14:paraId="3A9E829A" w14:textId="06A18E08" w:rsidR="00645D15" w:rsidRDefault="00BD09F0">
          <w:pPr>
            <w:pStyle w:val="TOC3"/>
            <w:rPr>
              <w:rFonts w:eastAsiaTheme="minorEastAsia" w:cstheme="minorBidi"/>
              <w:i w:val="0"/>
              <w:iCs w:val="0"/>
              <w:noProof/>
              <w:sz w:val="22"/>
              <w:szCs w:val="22"/>
              <w:lang w:eastAsia="en-GB" w:bidi="ar-SA"/>
            </w:rPr>
          </w:pPr>
          <w:hyperlink w:anchor="_Toc526498373" w:history="1">
            <w:r w:rsidR="00645D15" w:rsidRPr="000E5C4E">
              <w:rPr>
                <w:rStyle w:val="Hyperlink"/>
                <w:noProof/>
              </w:rPr>
              <w:t>3.2.4</w:t>
            </w:r>
            <w:r w:rsidR="00645D15">
              <w:rPr>
                <w:rFonts w:eastAsiaTheme="minorEastAsia" w:cstheme="minorBidi"/>
                <w:i w:val="0"/>
                <w:iCs w:val="0"/>
                <w:noProof/>
                <w:sz w:val="22"/>
                <w:szCs w:val="22"/>
                <w:lang w:eastAsia="en-GB" w:bidi="ar-SA"/>
              </w:rPr>
              <w:tab/>
            </w:r>
            <w:r w:rsidR="00645D15" w:rsidRPr="000E5C4E">
              <w:rPr>
                <w:rStyle w:val="Hyperlink"/>
                <w:noProof/>
              </w:rPr>
              <w:t>Genotoxicity</w:t>
            </w:r>
            <w:r w:rsidR="00645D15">
              <w:rPr>
                <w:noProof/>
                <w:webHidden/>
              </w:rPr>
              <w:tab/>
            </w:r>
            <w:r w:rsidR="00645D15">
              <w:rPr>
                <w:noProof/>
                <w:webHidden/>
              </w:rPr>
              <w:fldChar w:fldCharType="begin"/>
            </w:r>
            <w:r w:rsidR="00645D15">
              <w:rPr>
                <w:noProof/>
                <w:webHidden/>
              </w:rPr>
              <w:instrText xml:space="preserve"> PAGEREF _Toc526498373 \h </w:instrText>
            </w:r>
            <w:r w:rsidR="00645D15">
              <w:rPr>
                <w:noProof/>
                <w:webHidden/>
              </w:rPr>
            </w:r>
            <w:r w:rsidR="00645D15">
              <w:rPr>
                <w:noProof/>
                <w:webHidden/>
              </w:rPr>
              <w:fldChar w:fldCharType="separate"/>
            </w:r>
            <w:r w:rsidR="00645D15">
              <w:rPr>
                <w:noProof/>
                <w:webHidden/>
              </w:rPr>
              <w:t>18</w:t>
            </w:r>
            <w:r w:rsidR="00645D15">
              <w:rPr>
                <w:noProof/>
                <w:webHidden/>
              </w:rPr>
              <w:fldChar w:fldCharType="end"/>
            </w:r>
          </w:hyperlink>
        </w:p>
        <w:p w14:paraId="6E052370" w14:textId="774B5A72" w:rsidR="00645D15" w:rsidRDefault="00BD09F0">
          <w:pPr>
            <w:pStyle w:val="TOC3"/>
            <w:rPr>
              <w:rFonts w:eastAsiaTheme="minorEastAsia" w:cstheme="minorBidi"/>
              <w:i w:val="0"/>
              <w:iCs w:val="0"/>
              <w:noProof/>
              <w:sz w:val="22"/>
              <w:szCs w:val="22"/>
              <w:lang w:eastAsia="en-GB" w:bidi="ar-SA"/>
            </w:rPr>
          </w:pPr>
          <w:hyperlink w:anchor="_Toc526498374" w:history="1">
            <w:r w:rsidR="00645D15" w:rsidRPr="000E5C4E">
              <w:rPr>
                <w:rStyle w:val="Hyperlink"/>
                <w:noProof/>
              </w:rPr>
              <w:t>3.2.5</w:t>
            </w:r>
            <w:r w:rsidR="00645D15">
              <w:rPr>
                <w:rFonts w:eastAsiaTheme="minorEastAsia" w:cstheme="minorBidi"/>
                <w:i w:val="0"/>
                <w:iCs w:val="0"/>
                <w:noProof/>
                <w:sz w:val="22"/>
                <w:szCs w:val="22"/>
                <w:lang w:eastAsia="en-GB" w:bidi="ar-SA"/>
              </w:rPr>
              <w:tab/>
            </w:r>
            <w:r w:rsidR="00645D15" w:rsidRPr="000E5C4E">
              <w:rPr>
                <w:rStyle w:val="Hyperlink"/>
                <w:noProof/>
              </w:rPr>
              <w:t>Developmental and reproductive studies in animals</w:t>
            </w:r>
            <w:r w:rsidR="00645D15">
              <w:rPr>
                <w:noProof/>
                <w:webHidden/>
              </w:rPr>
              <w:tab/>
            </w:r>
            <w:r w:rsidR="00645D15">
              <w:rPr>
                <w:noProof/>
                <w:webHidden/>
              </w:rPr>
              <w:fldChar w:fldCharType="begin"/>
            </w:r>
            <w:r w:rsidR="00645D15">
              <w:rPr>
                <w:noProof/>
                <w:webHidden/>
              </w:rPr>
              <w:instrText xml:space="preserve"> PAGEREF _Toc526498374 \h </w:instrText>
            </w:r>
            <w:r w:rsidR="00645D15">
              <w:rPr>
                <w:noProof/>
                <w:webHidden/>
              </w:rPr>
            </w:r>
            <w:r w:rsidR="00645D15">
              <w:rPr>
                <w:noProof/>
                <w:webHidden/>
              </w:rPr>
              <w:fldChar w:fldCharType="separate"/>
            </w:r>
            <w:r w:rsidR="00645D15">
              <w:rPr>
                <w:noProof/>
                <w:webHidden/>
              </w:rPr>
              <w:t>19</w:t>
            </w:r>
            <w:r w:rsidR="00645D15">
              <w:rPr>
                <w:noProof/>
                <w:webHidden/>
              </w:rPr>
              <w:fldChar w:fldCharType="end"/>
            </w:r>
          </w:hyperlink>
        </w:p>
        <w:p w14:paraId="562D7A32" w14:textId="10383C98" w:rsidR="00645D15" w:rsidRDefault="00BD09F0">
          <w:pPr>
            <w:pStyle w:val="TOC3"/>
            <w:rPr>
              <w:rFonts w:eastAsiaTheme="minorEastAsia" w:cstheme="minorBidi"/>
              <w:i w:val="0"/>
              <w:iCs w:val="0"/>
              <w:noProof/>
              <w:sz w:val="22"/>
              <w:szCs w:val="22"/>
              <w:lang w:eastAsia="en-GB" w:bidi="ar-SA"/>
            </w:rPr>
          </w:pPr>
          <w:hyperlink w:anchor="_Toc526498375" w:history="1">
            <w:r w:rsidR="00645D15" w:rsidRPr="000E5C4E">
              <w:rPr>
                <w:rStyle w:val="Hyperlink"/>
                <w:noProof/>
              </w:rPr>
              <w:t>3.2.6</w:t>
            </w:r>
            <w:r w:rsidR="00645D15">
              <w:rPr>
                <w:rFonts w:eastAsiaTheme="minorEastAsia" w:cstheme="minorBidi"/>
                <w:i w:val="0"/>
                <w:iCs w:val="0"/>
                <w:noProof/>
                <w:sz w:val="22"/>
                <w:szCs w:val="22"/>
                <w:lang w:eastAsia="en-GB" w:bidi="ar-SA"/>
              </w:rPr>
              <w:tab/>
            </w:r>
            <w:r w:rsidR="00645D15" w:rsidRPr="000E5C4E">
              <w:rPr>
                <w:rStyle w:val="Hyperlink"/>
                <w:noProof/>
              </w:rPr>
              <w:t>Special studies in animals</w:t>
            </w:r>
            <w:r w:rsidR="00645D15">
              <w:rPr>
                <w:noProof/>
                <w:webHidden/>
              </w:rPr>
              <w:tab/>
            </w:r>
            <w:r w:rsidR="00645D15">
              <w:rPr>
                <w:noProof/>
                <w:webHidden/>
              </w:rPr>
              <w:fldChar w:fldCharType="begin"/>
            </w:r>
            <w:r w:rsidR="00645D15">
              <w:rPr>
                <w:noProof/>
                <w:webHidden/>
              </w:rPr>
              <w:instrText xml:space="preserve"> PAGEREF _Toc526498375 \h </w:instrText>
            </w:r>
            <w:r w:rsidR="00645D15">
              <w:rPr>
                <w:noProof/>
                <w:webHidden/>
              </w:rPr>
            </w:r>
            <w:r w:rsidR="00645D15">
              <w:rPr>
                <w:noProof/>
                <w:webHidden/>
              </w:rPr>
              <w:fldChar w:fldCharType="separate"/>
            </w:r>
            <w:r w:rsidR="00645D15">
              <w:rPr>
                <w:noProof/>
                <w:webHidden/>
              </w:rPr>
              <w:t>21</w:t>
            </w:r>
            <w:r w:rsidR="00645D15">
              <w:rPr>
                <w:noProof/>
                <w:webHidden/>
              </w:rPr>
              <w:fldChar w:fldCharType="end"/>
            </w:r>
          </w:hyperlink>
        </w:p>
        <w:p w14:paraId="29B5A968" w14:textId="033AFE40" w:rsidR="00645D15" w:rsidRDefault="00BD09F0">
          <w:pPr>
            <w:pStyle w:val="TOC3"/>
            <w:rPr>
              <w:rFonts w:eastAsiaTheme="minorEastAsia" w:cstheme="minorBidi"/>
              <w:i w:val="0"/>
              <w:iCs w:val="0"/>
              <w:noProof/>
              <w:sz w:val="22"/>
              <w:szCs w:val="22"/>
              <w:lang w:eastAsia="en-GB" w:bidi="ar-SA"/>
            </w:rPr>
          </w:pPr>
          <w:hyperlink w:anchor="_Toc526498376" w:history="1">
            <w:r w:rsidR="00645D15" w:rsidRPr="000E5C4E">
              <w:rPr>
                <w:rStyle w:val="Hyperlink"/>
                <w:noProof/>
              </w:rPr>
              <w:t>3.2.7</w:t>
            </w:r>
            <w:r w:rsidR="00645D15">
              <w:rPr>
                <w:rFonts w:eastAsiaTheme="minorEastAsia" w:cstheme="minorBidi"/>
                <w:i w:val="0"/>
                <w:iCs w:val="0"/>
                <w:noProof/>
                <w:sz w:val="22"/>
                <w:szCs w:val="22"/>
                <w:lang w:eastAsia="en-GB" w:bidi="ar-SA"/>
              </w:rPr>
              <w:tab/>
            </w:r>
            <w:r w:rsidR="00645D15" w:rsidRPr="000E5C4E">
              <w:rPr>
                <w:rStyle w:val="Hyperlink"/>
                <w:noProof/>
              </w:rPr>
              <w:t>Other studies</w:t>
            </w:r>
            <w:r w:rsidR="00645D15">
              <w:rPr>
                <w:noProof/>
                <w:webHidden/>
              </w:rPr>
              <w:tab/>
            </w:r>
            <w:r w:rsidR="00645D15">
              <w:rPr>
                <w:noProof/>
                <w:webHidden/>
              </w:rPr>
              <w:fldChar w:fldCharType="begin"/>
            </w:r>
            <w:r w:rsidR="00645D15">
              <w:rPr>
                <w:noProof/>
                <w:webHidden/>
              </w:rPr>
              <w:instrText xml:space="preserve"> PAGEREF _Toc526498376 \h </w:instrText>
            </w:r>
            <w:r w:rsidR="00645D15">
              <w:rPr>
                <w:noProof/>
                <w:webHidden/>
              </w:rPr>
            </w:r>
            <w:r w:rsidR="00645D15">
              <w:rPr>
                <w:noProof/>
                <w:webHidden/>
              </w:rPr>
              <w:fldChar w:fldCharType="separate"/>
            </w:r>
            <w:r w:rsidR="00645D15">
              <w:rPr>
                <w:noProof/>
                <w:webHidden/>
              </w:rPr>
              <w:t>22</w:t>
            </w:r>
            <w:r w:rsidR="00645D15">
              <w:rPr>
                <w:noProof/>
                <w:webHidden/>
              </w:rPr>
              <w:fldChar w:fldCharType="end"/>
            </w:r>
          </w:hyperlink>
        </w:p>
        <w:p w14:paraId="3930BB12" w14:textId="7721F99F" w:rsidR="00645D15" w:rsidRDefault="00BD09F0">
          <w:pPr>
            <w:pStyle w:val="TOC3"/>
            <w:rPr>
              <w:rFonts w:eastAsiaTheme="minorEastAsia" w:cstheme="minorBidi"/>
              <w:i w:val="0"/>
              <w:iCs w:val="0"/>
              <w:noProof/>
              <w:sz w:val="22"/>
              <w:szCs w:val="22"/>
              <w:lang w:eastAsia="en-GB" w:bidi="ar-SA"/>
            </w:rPr>
          </w:pPr>
          <w:hyperlink w:anchor="_Toc526498377" w:history="1">
            <w:r w:rsidR="00645D15" w:rsidRPr="000E5C4E">
              <w:rPr>
                <w:rStyle w:val="Hyperlink"/>
                <w:noProof/>
              </w:rPr>
              <w:t>3.2.8</w:t>
            </w:r>
            <w:r w:rsidR="00645D15">
              <w:rPr>
                <w:rFonts w:eastAsiaTheme="minorEastAsia" w:cstheme="minorBidi"/>
                <w:i w:val="0"/>
                <w:iCs w:val="0"/>
                <w:noProof/>
                <w:sz w:val="22"/>
                <w:szCs w:val="22"/>
                <w:lang w:eastAsia="en-GB" w:bidi="ar-SA"/>
              </w:rPr>
              <w:tab/>
            </w:r>
            <w:r w:rsidR="00645D15" w:rsidRPr="000E5C4E">
              <w:rPr>
                <w:rStyle w:val="Hyperlink"/>
                <w:noProof/>
              </w:rPr>
              <w:t>Human tolerance studies</w:t>
            </w:r>
            <w:r w:rsidR="00645D15">
              <w:rPr>
                <w:noProof/>
                <w:webHidden/>
              </w:rPr>
              <w:tab/>
            </w:r>
            <w:r w:rsidR="00645D15">
              <w:rPr>
                <w:noProof/>
                <w:webHidden/>
              </w:rPr>
              <w:fldChar w:fldCharType="begin"/>
            </w:r>
            <w:r w:rsidR="00645D15">
              <w:rPr>
                <w:noProof/>
                <w:webHidden/>
              </w:rPr>
              <w:instrText xml:space="preserve"> PAGEREF _Toc526498377 \h </w:instrText>
            </w:r>
            <w:r w:rsidR="00645D15">
              <w:rPr>
                <w:noProof/>
                <w:webHidden/>
              </w:rPr>
            </w:r>
            <w:r w:rsidR="00645D15">
              <w:rPr>
                <w:noProof/>
                <w:webHidden/>
              </w:rPr>
              <w:fldChar w:fldCharType="separate"/>
            </w:r>
            <w:r w:rsidR="00645D15">
              <w:rPr>
                <w:noProof/>
                <w:webHidden/>
              </w:rPr>
              <w:t>24</w:t>
            </w:r>
            <w:r w:rsidR="00645D15">
              <w:rPr>
                <w:noProof/>
                <w:webHidden/>
              </w:rPr>
              <w:fldChar w:fldCharType="end"/>
            </w:r>
          </w:hyperlink>
        </w:p>
        <w:p w14:paraId="1D857589" w14:textId="193E07A3"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78" w:history="1">
            <w:r w:rsidR="00645D15" w:rsidRPr="000E5C4E">
              <w:rPr>
                <w:rStyle w:val="Hyperlink"/>
                <w:noProof/>
              </w:rPr>
              <w:t>3.3</w:t>
            </w:r>
            <w:r w:rsidR="00645D15">
              <w:rPr>
                <w:rFonts w:eastAsiaTheme="minorEastAsia" w:cstheme="minorBidi"/>
                <w:smallCaps w:val="0"/>
                <w:noProof/>
                <w:sz w:val="22"/>
                <w:szCs w:val="22"/>
                <w:lang w:eastAsia="en-GB" w:bidi="ar-SA"/>
              </w:rPr>
              <w:tab/>
            </w:r>
            <w:r w:rsidR="00645D15" w:rsidRPr="000E5C4E">
              <w:rPr>
                <w:rStyle w:val="Hyperlink"/>
                <w:noProof/>
              </w:rPr>
              <w:t>Assessments by other regulatory agencies</w:t>
            </w:r>
            <w:r w:rsidR="00645D15">
              <w:rPr>
                <w:noProof/>
                <w:webHidden/>
              </w:rPr>
              <w:tab/>
            </w:r>
            <w:r w:rsidR="00645D15">
              <w:rPr>
                <w:noProof/>
                <w:webHidden/>
              </w:rPr>
              <w:fldChar w:fldCharType="begin"/>
            </w:r>
            <w:r w:rsidR="00645D15">
              <w:rPr>
                <w:noProof/>
                <w:webHidden/>
              </w:rPr>
              <w:instrText xml:space="preserve"> PAGEREF _Toc526498378 \h </w:instrText>
            </w:r>
            <w:r w:rsidR="00645D15">
              <w:rPr>
                <w:noProof/>
                <w:webHidden/>
              </w:rPr>
            </w:r>
            <w:r w:rsidR="00645D15">
              <w:rPr>
                <w:noProof/>
                <w:webHidden/>
              </w:rPr>
              <w:fldChar w:fldCharType="separate"/>
            </w:r>
            <w:r w:rsidR="00645D15">
              <w:rPr>
                <w:noProof/>
                <w:webHidden/>
              </w:rPr>
              <w:t>26</w:t>
            </w:r>
            <w:r w:rsidR="00645D15">
              <w:rPr>
                <w:noProof/>
                <w:webHidden/>
              </w:rPr>
              <w:fldChar w:fldCharType="end"/>
            </w:r>
          </w:hyperlink>
        </w:p>
        <w:p w14:paraId="23FAD400" w14:textId="04201352" w:rsidR="00645D15" w:rsidRDefault="00BD09F0">
          <w:pPr>
            <w:pStyle w:val="TOC3"/>
            <w:rPr>
              <w:rFonts w:eastAsiaTheme="minorEastAsia" w:cstheme="minorBidi"/>
              <w:i w:val="0"/>
              <w:iCs w:val="0"/>
              <w:noProof/>
              <w:sz w:val="22"/>
              <w:szCs w:val="22"/>
              <w:lang w:eastAsia="en-GB" w:bidi="ar-SA"/>
            </w:rPr>
          </w:pPr>
          <w:hyperlink w:anchor="_Toc526498379" w:history="1">
            <w:r w:rsidR="00645D15" w:rsidRPr="000E5C4E">
              <w:rPr>
                <w:rStyle w:val="Hyperlink"/>
                <w:noProof/>
              </w:rPr>
              <w:t>3.3.1</w:t>
            </w:r>
            <w:r w:rsidR="00645D15">
              <w:rPr>
                <w:rFonts w:eastAsiaTheme="minorEastAsia" w:cstheme="minorBidi"/>
                <w:i w:val="0"/>
                <w:iCs w:val="0"/>
                <w:noProof/>
                <w:sz w:val="22"/>
                <w:szCs w:val="22"/>
                <w:lang w:eastAsia="en-GB" w:bidi="ar-SA"/>
              </w:rPr>
              <w:tab/>
            </w:r>
            <w:r w:rsidR="00645D15" w:rsidRPr="000E5C4E">
              <w:rPr>
                <w:rStyle w:val="Hyperlink"/>
                <w:noProof/>
              </w:rPr>
              <w:t>Joint FAO/WHO Expert Committee on Food Additives (JECFA)</w:t>
            </w:r>
            <w:r w:rsidR="00645D15">
              <w:rPr>
                <w:noProof/>
                <w:webHidden/>
              </w:rPr>
              <w:tab/>
            </w:r>
            <w:r w:rsidR="00645D15">
              <w:rPr>
                <w:noProof/>
                <w:webHidden/>
              </w:rPr>
              <w:fldChar w:fldCharType="begin"/>
            </w:r>
            <w:r w:rsidR="00645D15">
              <w:rPr>
                <w:noProof/>
                <w:webHidden/>
              </w:rPr>
              <w:instrText xml:space="preserve"> PAGEREF _Toc526498379 \h </w:instrText>
            </w:r>
            <w:r w:rsidR="00645D15">
              <w:rPr>
                <w:noProof/>
                <w:webHidden/>
              </w:rPr>
            </w:r>
            <w:r w:rsidR="00645D15">
              <w:rPr>
                <w:noProof/>
                <w:webHidden/>
              </w:rPr>
              <w:fldChar w:fldCharType="separate"/>
            </w:r>
            <w:r w:rsidR="00645D15">
              <w:rPr>
                <w:noProof/>
                <w:webHidden/>
              </w:rPr>
              <w:t>26</w:t>
            </w:r>
            <w:r w:rsidR="00645D15">
              <w:rPr>
                <w:noProof/>
                <w:webHidden/>
              </w:rPr>
              <w:fldChar w:fldCharType="end"/>
            </w:r>
          </w:hyperlink>
        </w:p>
        <w:p w14:paraId="68A3C58F" w14:textId="3542F943" w:rsidR="00645D15" w:rsidRDefault="00BD09F0">
          <w:pPr>
            <w:pStyle w:val="TOC3"/>
            <w:rPr>
              <w:rFonts w:eastAsiaTheme="minorEastAsia" w:cstheme="minorBidi"/>
              <w:i w:val="0"/>
              <w:iCs w:val="0"/>
              <w:noProof/>
              <w:sz w:val="22"/>
              <w:szCs w:val="22"/>
              <w:lang w:eastAsia="en-GB" w:bidi="ar-SA"/>
            </w:rPr>
          </w:pPr>
          <w:hyperlink w:anchor="_Toc526498380" w:history="1">
            <w:r w:rsidR="00645D15" w:rsidRPr="000E5C4E">
              <w:rPr>
                <w:rStyle w:val="Hyperlink"/>
                <w:noProof/>
              </w:rPr>
              <w:t>3.3.2</w:t>
            </w:r>
            <w:r w:rsidR="00645D15">
              <w:rPr>
                <w:rFonts w:eastAsiaTheme="minorEastAsia" w:cstheme="minorBidi"/>
                <w:i w:val="0"/>
                <w:iCs w:val="0"/>
                <w:noProof/>
                <w:sz w:val="22"/>
                <w:szCs w:val="22"/>
                <w:lang w:eastAsia="en-GB" w:bidi="ar-SA"/>
              </w:rPr>
              <w:tab/>
            </w:r>
            <w:r w:rsidR="00645D15" w:rsidRPr="000E5C4E">
              <w:rPr>
                <w:rStyle w:val="Hyperlink"/>
                <w:noProof/>
              </w:rPr>
              <w:t>European Food Safety Authority (EFSA)</w:t>
            </w:r>
            <w:r w:rsidR="00645D15">
              <w:rPr>
                <w:noProof/>
                <w:webHidden/>
              </w:rPr>
              <w:tab/>
            </w:r>
            <w:r w:rsidR="00645D15">
              <w:rPr>
                <w:noProof/>
                <w:webHidden/>
              </w:rPr>
              <w:fldChar w:fldCharType="begin"/>
            </w:r>
            <w:r w:rsidR="00645D15">
              <w:rPr>
                <w:noProof/>
                <w:webHidden/>
              </w:rPr>
              <w:instrText xml:space="preserve"> PAGEREF _Toc526498380 \h </w:instrText>
            </w:r>
            <w:r w:rsidR="00645D15">
              <w:rPr>
                <w:noProof/>
                <w:webHidden/>
              </w:rPr>
            </w:r>
            <w:r w:rsidR="00645D15">
              <w:rPr>
                <w:noProof/>
                <w:webHidden/>
              </w:rPr>
              <w:fldChar w:fldCharType="separate"/>
            </w:r>
            <w:r w:rsidR="00645D15">
              <w:rPr>
                <w:noProof/>
                <w:webHidden/>
              </w:rPr>
              <w:t>26</w:t>
            </w:r>
            <w:r w:rsidR="00645D15">
              <w:rPr>
                <w:noProof/>
                <w:webHidden/>
              </w:rPr>
              <w:fldChar w:fldCharType="end"/>
            </w:r>
          </w:hyperlink>
        </w:p>
        <w:p w14:paraId="6DDEFCAD" w14:textId="5362692C"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81" w:history="1">
            <w:r w:rsidR="00645D15" w:rsidRPr="000E5C4E">
              <w:rPr>
                <w:rStyle w:val="Hyperlink"/>
                <w:noProof/>
              </w:rPr>
              <w:t>3.4</w:t>
            </w:r>
            <w:r w:rsidR="00645D15">
              <w:rPr>
                <w:rFonts w:eastAsiaTheme="minorEastAsia" w:cstheme="minorBidi"/>
                <w:smallCaps w:val="0"/>
                <w:noProof/>
                <w:sz w:val="22"/>
                <w:szCs w:val="22"/>
                <w:lang w:eastAsia="en-GB" w:bidi="ar-SA"/>
              </w:rPr>
              <w:tab/>
            </w:r>
            <w:r w:rsidR="00645D15" w:rsidRPr="000E5C4E">
              <w:rPr>
                <w:rStyle w:val="Hyperlink"/>
                <w:noProof/>
              </w:rPr>
              <w:t>Conclusion</w:t>
            </w:r>
            <w:r w:rsidR="00645D15">
              <w:rPr>
                <w:noProof/>
                <w:webHidden/>
              </w:rPr>
              <w:tab/>
            </w:r>
            <w:r w:rsidR="00645D15">
              <w:rPr>
                <w:noProof/>
                <w:webHidden/>
              </w:rPr>
              <w:fldChar w:fldCharType="begin"/>
            </w:r>
            <w:r w:rsidR="00645D15">
              <w:rPr>
                <w:noProof/>
                <w:webHidden/>
              </w:rPr>
              <w:instrText xml:space="preserve"> PAGEREF _Toc526498381 \h </w:instrText>
            </w:r>
            <w:r w:rsidR="00645D15">
              <w:rPr>
                <w:noProof/>
                <w:webHidden/>
              </w:rPr>
            </w:r>
            <w:r w:rsidR="00645D15">
              <w:rPr>
                <w:noProof/>
                <w:webHidden/>
              </w:rPr>
              <w:fldChar w:fldCharType="separate"/>
            </w:r>
            <w:r w:rsidR="00645D15">
              <w:rPr>
                <w:noProof/>
                <w:webHidden/>
              </w:rPr>
              <w:t>27</w:t>
            </w:r>
            <w:r w:rsidR="00645D15">
              <w:rPr>
                <w:noProof/>
                <w:webHidden/>
              </w:rPr>
              <w:fldChar w:fldCharType="end"/>
            </w:r>
          </w:hyperlink>
        </w:p>
        <w:p w14:paraId="1E90711C" w14:textId="200C6439" w:rsidR="00645D15" w:rsidRDefault="00BD09F0">
          <w:pPr>
            <w:pStyle w:val="TOC1"/>
            <w:rPr>
              <w:rFonts w:eastAsiaTheme="minorEastAsia" w:cstheme="minorBidi"/>
              <w:b w:val="0"/>
              <w:bCs w:val="0"/>
              <w:caps w:val="0"/>
              <w:noProof/>
              <w:sz w:val="22"/>
              <w:szCs w:val="22"/>
              <w:lang w:eastAsia="en-GB" w:bidi="ar-SA"/>
            </w:rPr>
          </w:pPr>
          <w:hyperlink w:anchor="_Toc526498382" w:history="1">
            <w:r w:rsidR="00645D15" w:rsidRPr="000E5C4E">
              <w:rPr>
                <w:rStyle w:val="Hyperlink"/>
                <w:noProof/>
              </w:rPr>
              <w:t>4</w:t>
            </w:r>
            <w:r w:rsidR="00645D15">
              <w:rPr>
                <w:rFonts w:eastAsiaTheme="minorEastAsia" w:cstheme="minorBidi"/>
                <w:b w:val="0"/>
                <w:bCs w:val="0"/>
                <w:caps w:val="0"/>
                <w:noProof/>
                <w:sz w:val="22"/>
                <w:szCs w:val="22"/>
                <w:lang w:eastAsia="en-GB" w:bidi="ar-SA"/>
              </w:rPr>
              <w:tab/>
            </w:r>
            <w:r w:rsidR="00645D15" w:rsidRPr="000E5C4E">
              <w:rPr>
                <w:rStyle w:val="Hyperlink"/>
                <w:noProof/>
              </w:rPr>
              <w:t>Dietary exposure assessment</w:t>
            </w:r>
            <w:r w:rsidR="00645D15">
              <w:rPr>
                <w:noProof/>
                <w:webHidden/>
              </w:rPr>
              <w:tab/>
            </w:r>
            <w:r w:rsidR="00645D15">
              <w:rPr>
                <w:noProof/>
                <w:webHidden/>
              </w:rPr>
              <w:fldChar w:fldCharType="begin"/>
            </w:r>
            <w:r w:rsidR="00645D15">
              <w:rPr>
                <w:noProof/>
                <w:webHidden/>
              </w:rPr>
              <w:instrText xml:space="preserve"> PAGEREF _Toc526498382 \h </w:instrText>
            </w:r>
            <w:r w:rsidR="00645D15">
              <w:rPr>
                <w:noProof/>
                <w:webHidden/>
              </w:rPr>
            </w:r>
            <w:r w:rsidR="00645D15">
              <w:rPr>
                <w:noProof/>
                <w:webHidden/>
              </w:rPr>
              <w:fldChar w:fldCharType="separate"/>
            </w:r>
            <w:r w:rsidR="00645D15">
              <w:rPr>
                <w:noProof/>
                <w:webHidden/>
              </w:rPr>
              <w:t>29</w:t>
            </w:r>
            <w:r w:rsidR="00645D15">
              <w:rPr>
                <w:noProof/>
                <w:webHidden/>
              </w:rPr>
              <w:fldChar w:fldCharType="end"/>
            </w:r>
          </w:hyperlink>
        </w:p>
        <w:p w14:paraId="2650072E" w14:textId="116201BD"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83" w:history="1">
            <w:r w:rsidR="00645D15" w:rsidRPr="000E5C4E">
              <w:rPr>
                <w:rStyle w:val="Hyperlink"/>
                <w:noProof/>
              </w:rPr>
              <w:t>4.1</w:t>
            </w:r>
            <w:r w:rsidR="00645D15">
              <w:rPr>
                <w:rFonts w:eastAsiaTheme="minorEastAsia" w:cstheme="minorBidi"/>
                <w:smallCaps w:val="0"/>
                <w:noProof/>
                <w:sz w:val="22"/>
                <w:szCs w:val="22"/>
                <w:lang w:eastAsia="en-GB" w:bidi="ar-SA"/>
              </w:rPr>
              <w:tab/>
            </w:r>
            <w:r w:rsidR="00645D15" w:rsidRPr="000E5C4E">
              <w:rPr>
                <w:rStyle w:val="Hyperlink"/>
                <w:noProof/>
              </w:rPr>
              <w:t>Approach to estimating dietary exposure</w:t>
            </w:r>
            <w:r w:rsidR="00645D15">
              <w:rPr>
                <w:noProof/>
                <w:webHidden/>
              </w:rPr>
              <w:tab/>
            </w:r>
            <w:r w:rsidR="00645D15">
              <w:rPr>
                <w:noProof/>
                <w:webHidden/>
              </w:rPr>
              <w:fldChar w:fldCharType="begin"/>
            </w:r>
            <w:r w:rsidR="00645D15">
              <w:rPr>
                <w:noProof/>
                <w:webHidden/>
              </w:rPr>
              <w:instrText xml:space="preserve"> PAGEREF _Toc526498383 \h </w:instrText>
            </w:r>
            <w:r w:rsidR="00645D15">
              <w:rPr>
                <w:noProof/>
                <w:webHidden/>
              </w:rPr>
            </w:r>
            <w:r w:rsidR="00645D15">
              <w:rPr>
                <w:noProof/>
                <w:webHidden/>
              </w:rPr>
              <w:fldChar w:fldCharType="separate"/>
            </w:r>
            <w:r w:rsidR="00645D15">
              <w:rPr>
                <w:noProof/>
                <w:webHidden/>
              </w:rPr>
              <w:t>29</w:t>
            </w:r>
            <w:r w:rsidR="00645D15">
              <w:rPr>
                <w:noProof/>
                <w:webHidden/>
              </w:rPr>
              <w:fldChar w:fldCharType="end"/>
            </w:r>
          </w:hyperlink>
        </w:p>
        <w:p w14:paraId="6730388A" w14:textId="14EBAA35" w:rsidR="00645D15" w:rsidRDefault="00BD09F0">
          <w:pPr>
            <w:pStyle w:val="TOC3"/>
            <w:rPr>
              <w:rFonts w:eastAsiaTheme="minorEastAsia" w:cstheme="minorBidi"/>
              <w:i w:val="0"/>
              <w:iCs w:val="0"/>
              <w:noProof/>
              <w:sz w:val="22"/>
              <w:szCs w:val="22"/>
              <w:lang w:eastAsia="en-GB" w:bidi="ar-SA"/>
            </w:rPr>
          </w:pPr>
          <w:hyperlink w:anchor="_Toc526498384" w:history="1">
            <w:r w:rsidR="00645D15" w:rsidRPr="000E5C4E">
              <w:rPr>
                <w:rStyle w:val="Hyperlink"/>
                <w:noProof/>
              </w:rPr>
              <w:t>4.1.1</w:t>
            </w:r>
            <w:r w:rsidR="00645D15">
              <w:rPr>
                <w:rFonts w:eastAsiaTheme="minorEastAsia" w:cstheme="minorBidi"/>
                <w:i w:val="0"/>
                <w:iCs w:val="0"/>
                <w:noProof/>
                <w:sz w:val="22"/>
                <w:szCs w:val="22"/>
                <w:lang w:eastAsia="en-GB" w:bidi="ar-SA"/>
              </w:rPr>
              <w:tab/>
            </w:r>
            <w:r w:rsidR="00645D15" w:rsidRPr="000E5C4E">
              <w:rPr>
                <w:rStyle w:val="Hyperlink"/>
                <w:noProof/>
              </w:rPr>
              <w:t>Concentrations of carnosic acid plus carnosol in foods</w:t>
            </w:r>
            <w:r w:rsidR="00645D15">
              <w:rPr>
                <w:noProof/>
                <w:webHidden/>
              </w:rPr>
              <w:tab/>
            </w:r>
            <w:r w:rsidR="00645D15">
              <w:rPr>
                <w:noProof/>
                <w:webHidden/>
              </w:rPr>
              <w:fldChar w:fldCharType="begin"/>
            </w:r>
            <w:r w:rsidR="00645D15">
              <w:rPr>
                <w:noProof/>
                <w:webHidden/>
              </w:rPr>
              <w:instrText xml:space="preserve"> PAGEREF _Toc526498384 \h </w:instrText>
            </w:r>
            <w:r w:rsidR="00645D15">
              <w:rPr>
                <w:noProof/>
                <w:webHidden/>
              </w:rPr>
            </w:r>
            <w:r w:rsidR="00645D15">
              <w:rPr>
                <w:noProof/>
                <w:webHidden/>
              </w:rPr>
              <w:fldChar w:fldCharType="separate"/>
            </w:r>
            <w:r w:rsidR="00645D15">
              <w:rPr>
                <w:noProof/>
                <w:webHidden/>
              </w:rPr>
              <w:t>30</w:t>
            </w:r>
            <w:r w:rsidR="00645D15">
              <w:rPr>
                <w:noProof/>
                <w:webHidden/>
              </w:rPr>
              <w:fldChar w:fldCharType="end"/>
            </w:r>
          </w:hyperlink>
        </w:p>
        <w:p w14:paraId="3FF5F540" w14:textId="1BAF5AA9" w:rsidR="00645D15" w:rsidRDefault="00BD09F0">
          <w:pPr>
            <w:pStyle w:val="TOC3"/>
            <w:rPr>
              <w:rFonts w:eastAsiaTheme="minorEastAsia" w:cstheme="minorBidi"/>
              <w:i w:val="0"/>
              <w:iCs w:val="0"/>
              <w:noProof/>
              <w:sz w:val="22"/>
              <w:szCs w:val="22"/>
              <w:lang w:eastAsia="en-GB" w:bidi="ar-SA"/>
            </w:rPr>
          </w:pPr>
          <w:hyperlink w:anchor="_Toc526498385" w:history="1">
            <w:r w:rsidR="00645D15" w:rsidRPr="000E5C4E">
              <w:rPr>
                <w:rStyle w:val="Hyperlink"/>
                <w:noProof/>
              </w:rPr>
              <w:t>4.1.2</w:t>
            </w:r>
            <w:r w:rsidR="00645D15">
              <w:rPr>
                <w:rFonts w:eastAsiaTheme="minorEastAsia" w:cstheme="minorBidi"/>
                <w:i w:val="0"/>
                <w:iCs w:val="0"/>
                <w:noProof/>
                <w:sz w:val="22"/>
                <w:szCs w:val="22"/>
                <w:lang w:eastAsia="en-GB" w:bidi="ar-SA"/>
              </w:rPr>
              <w:tab/>
            </w:r>
            <w:r w:rsidR="00645D15" w:rsidRPr="000E5C4E">
              <w:rPr>
                <w:rStyle w:val="Hyperlink"/>
                <w:noProof/>
              </w:rPr>
              <w:t>Food consumption data used</w:t>
            </w:r>
            <w:r w:rsidR="00645D15">
              <w:rPr>
                <w:noProof/>
                <w:webHidden/>
              </w:rPr>
              <w:tab/>
            </w:r>
            <w:r w:rsidR="00645D15">
              <w:rPr>
                <w:noProof/>
                <w:webHidden/>
              </w:rPr>
              <w:fldChar w:fldCharType="begin"/>
            </w:r>
            <w:r w:rsidR="00645D15">
              <w:rPr>
                <w:noProof/>
                <w:webHidden/>
              </w:rPr>
              <w:instrText xml:space="preserve"> PAGEREF _Toc526498385 \h </w:instrText>
            </w:r>
            <w:r w:rsidR="00645D15">
              <w:rPr>
                <w:noProof/>
                <w:webHidden/>
              </w:rPr>
            </w:r>
            <w:r w:rsidR="00645D15">
              <w:rPr>
                <w:noProof/>
                <w:webHidden/>
              </w:rPr>
              <w:fldChar w:fldCharType="separate"/>
            </w:r>
            <w:r w:rsidR="00645D15">
              <w:rPr>
                <w:noProof/>
                <w:webHidden/>
              </w:rPr>
              <w:t>32</w:t>
            </w:r>
            <w:r w:rsidR="00645D15">
              <w:rPr>
                <w:noProof/>
                <w:webHidden/>
              </w:rPr>
              <w:fldChar w:fldCharType="end"/>
            </w:r>
          </w:hyperlink>
        </w:p>
        <w:p w14:paraId="59CE8066" w14:textId="28EE1AC0"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86" w:history="1">
            <w:r w:rsidR="00645D15" w:rsidRPr="000E5C4E">
              <w:rPr>
                <w:rStyle w:val="Hyperlink"/>
                <w:noProof/>
              </w:rPr>
              <w:t>4.2</w:t>
            </w:r>
            <w:r w:rsidR="00645D15">
              <w:rPr>
                <w:rFonts w:eastAsiaTheme="minorEastAsia" w:cstheme="minorBidi"/>
                <w:smallCaps w:val="0"/>
                <w:noProof/>
                <w:sz w:val="22"/>
                <w:szCs w:val="22"/>
                <w:lang w:eastAsia="en-GB" w:bidi="ar-SA"/>
              </w:rPr>
              <w:tab/>
            </w:r>
            <w:r w:rsidR="00645D15" w:rsidRPr="000E5C4E">
              <w:rPr>
                <w:rStyle w:val="Hyperlink"/>
                <w:noProof/>
              </w:rPr>
              <w:t>How were the estimated dietary exposures calculated?</w:t>
            </w:r>
            <w:r w:rsidR="00645D15">
              <w:rPr>
                <w:noProof/>
                <w:webHidden/>
              </w:rPr>
              <w:tab/>
            </w:r>
            <w:r w:rsidR="00645D15">
              <w:rPr>
                <w:noProof/>
                <w:webHidden/>
              </w:rPr>
              <w:fldChar w:fldCharType="begin"/>
            </w:r>
            <w:r w:rsidR="00645D15">
              <w:rPr>
                <w:noProof/>
                <w:webHidden/>
              </w:rPr>
              <w:instrText xml:space="preserve"> PAGEREF _Toc526498386 \h </w:instrText>
            </w:r>
            <w:r w:rsidR="00645D15">
              <w:rPr>
                <w:noProof/>
                <w:webHidden/>
              </w:rPr>
            </w:r>
            <w:r w:rsidR="00645D15">
              <w:rPr>
                <w:noProof/>
                <w:webHidden/>
              </w:rPr>
              <w:fldChar w:fldCharType="separate"/>
            </w:r>
            <w:r w:rsidR="00645D15">
              <w:rPr>
                <w:noProof/>
                <w:webHidden/>
              </w:rPr>
              <w:t>34</w:t>
            </w:r>
            <w:r w:rsidR="00645D15">
              <w:rPr>
                <w:noProof/>
                <w:webHidden/>
              </w:rPr>
              <w:fldChar w:fldCharType="end"/>
            </w:r>
          </w:hyperlink>
        </w:p>
        <w:p w14:paraId="6220B553" w14:textId="06335810" w:rsidR="00645D15" w:rsidRDefault="00BD09F0">
          <w:pPr>
            <w:pStyle w:val="TOC3"/>
            <w:rPr>
              <w:rFonts w:eastAsiaTheme="minorEastAsia" w:cstheme="minorBidi"/>
              <w:i w:val="0"/>
              <w:iCs w:val="0"/>
              <w:noProof/>
              <w:sz w:val="22"/>
              <w:szCs w:val="22"/>
              <w:lang w:eastAsia="en-GB" w:bidi="ar-SA"/>
            </w:rPr>
          </w:pPr>
          <w:hyperlink w:anchor="_Toc526498387" w:history="1">
            <w:r w:rsidR="00645D15" w:rsidRPr="000E5C4E">
              <w:rPr>
                <w:rStyle w:val="Hyperlink"/>
                <w:noProof/>
              </w:rPr>
              <w:t>4.2.1</w:t>
            </w:r>
            <w:r w:rsidR="00645D15">
              <w:rPr>
                <w:rFonts w:eastAsiaTheme="minorEastAsia" w:cstheme="minorBidi"/>
                <w:i w:val="0"/>
                <w:iCs w:val="0"/>
                <w:noProof/>
                <w:sz w:val="22"/>
                <w:szCs w:val="22"/>
                <w:lang w:eastAsia="en-GB" w:bidi="ar-SA"/>
              </w:rPr>
              <w:tab/>
            </w:r>
            <w:r w:rsidR="00645D15" w:rsidRPr="000E5C4E">
              <w:rPr>
                <w:rStyle w:val="Hyperlink"/>
                <w:noProof/>
              </w:rPr>
              <w:t>Assumptions and limitations of the dietary exposure assessment</w:t>
            </w:r>
            <w:r w:rsidR="00645D15">
              <w:rPr>
                <w:noProof/>
                <w:webHidden/>
              </w:rPr>
              <w:tab/>
            </w:r>
            <w:r w:rsidR="00645D15">
              <w:rPr>
                <w:noProof/>
                <w:webHidden/>
              </w:rPr>
              <w:fldChar w:fldCharType="begin"/>
            </w:r>
            <w:r w:rsidR="00645D15">
              <w:rPr>
                <w:noProof/>
                <w:webHidden/>
              </w:rPr>
              <w:instrText xml:space="preserve"> PAGEREF _Toc526498387 \h </w:instrText>
            </w:r>
            <w:r w:rsidR="00645D15">
              <w:rPr>
                <w:noProof/>
                <w:webHidden/>
              </w:rPr>
            </w:r>
            <w:r w:rsidR="00645D15">
              <w:rPr>
                <w:noProof/>
                <w:webHidden/>
              </w:rPr>
              <w:fldChar w:fldCharType="separate"/>
            </w:r>
            <w:r w:rsidR="00645D15">
              <w:rPr>
                <w:noProof/>
                <w:webHidden/>
              </w:rPr>
              <w:t>34</w:t>
            </w:r>
            <w:r w:rsidR="00645D15">
              <w:rPr>
                <w:noProof/>
                <w:webHidden/>
              </w:rPr>
              <w:fldChar w:fldCharType="end"/>
            </w:r>
          </w:hyperlink>
        </w:p>
        <w:p w14:paraId="1BD91D0D" w14:textId="62821E69"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88" w:history="1">
            <w:r w:rsidR="00645D15" w:rsidRPr="000E5C4E">
              <w:rPr>
                <w:rStyle w:val="Hyperlink"/>
                <w:noProof/>
              </w:rPr>
              <w:t>4.3</w:t>
            </w:r>
            <w:r w:rsidR="00645D15">
              <w:rPr>
                <w:rFonts w:eastAsiaTheme="minorEastAsia" w:cstheme="minorBidi"/>
                <w:smallCaps w:val="0"/>
                <w:noProof/>
                <w:sz w:val="22"/>
                <w:szCs w:val="22"/>
                <w:lang w:eastAsia="en-GB" w:bidi="ar-SA"/>
              </w:rPr>
              <w:tab/>
            </w:r>
            <w:r w:rsidR="00645D15" w:rsidRPr="000E5C4E">
              <w:rPr>
                <w:rStyle w:val="Hyperlink"/>
                <w:noProof/>
              </w:rPr>
              <w:t>Estimated consumer dietary exposures to carnosic acid plus carnosol</w:t>
            </w:r>
            <w:r w:rsidR="00645D15">
              <w:rPr>
                <w:noProof/>
                <w:webHidden/>
              </w:rPr>
              <w:tab/>
            </w:r>
            <w:r w:rsidR="00645D15">
              <w:rPr>
                <w:noProof/>
                <w:webHidden/>
              </w:rPr>
              <w:fldChar w:fldCharType="begin"/>
            </w:r>
            <w:r w:rsidR="00645D15">
              <w:rPr>
                <w:noProof/>
                <w:webHidden/>
              </w:rPr>
              <w:instrText xml:space="preserve"> PAGEREF _Toc526498388 \h </w:instrText>
            </w:r>
            <w:r w:rsidR="00645D15">
              <w:rPr>
                <w:noProof/>
                <w:webHidden/>
              </w:rPr>
            </w:r>
            <w:r w:rsidR="00645D15">
              <w:rPr>
                <w:noProof/>
                <w:webHidden/>
              </w:rPr>
              <w:fldChar w:fldCharType="separate"/>
            </w:r>
            <w:r w:rsidR="00645D15">
              <w:rPr>
                <w:noProof/>
                <w:webHidden/>
              </w:rPr>
              <w:t>35</w:t>
            </w:r>
            <w:r w:rsidR="00645D15">
              <w:rPr>
                <w:noProof/>
                <w:webHidden/>
              </w:rPr>
              <w:fldChar w:fldCharType="end"/>
            </w:r>
          </w:hyperlink>
        </w:p>
        <w:p w14:paraId="733C44C6" w14:textId="0C6EF464"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89" w:history="1">
            <w:r w:rsidR="00645D15" w:rsidRPr="000E5C4E">
              <w:rPr>
                <w:rStyle w:val="Hyperlink"/>
                <w:noProof/>
              </w:rPr>
              <w:t>4.4</w:t>
            </w:r>
            <w:r w:rsidR="00645D15">
              <w:rPr>
                <w:rFonts w:eastAsiaTheme="minorEastAsia" w:cstheme="minorBidi"/>
                <w:smallCaps w:val="0"/>
                <w:noProof/>
                <w:sz w:val="22"/>
                <w:szCs w:val="22"/>
                <w:lang w:eastAsia="en-GB" w:bidi="ar-SA"/>
              </w:rPr>
              <w:tab/>
            </w:r>
            <w:r w:rsidR="00645D15" w:rsidRPr="000E5C4E">
              <w:rPr>
                <w:rStyle w:val="Hyperlink"/>
                <w:noProof/>
              </w:rPr>
              <w:t>Major contributing foods to carnosic acid plus carnosol dietary exposures</w:t>
            </w:r>
            <w:r w:rsidR="00645D15">
              <w:rPr>
                <w:noProof/>
                <w:webHidden/>
              </w:rPr>
              <w:tab/>
            </w:r>
            <w:r w:rsidR="00645D15">
              <w:rPr>
                <w:noProof/>
                <w:webHidden/>
              </w:rPr>
              <w:fldChar w:fldCharType="begin"/>
            </w:r>
            <w:r w:rsidR="00645D15">
              <w:rPr>
                <w:noProof/>
                <w:webHidden/>
              </w:rPr>
              <w:instrText xml:space="preserve"> PAGEREF _Toc526498389 \h </w:instrText>
            </w:r>
            <w:r w:rsidR="00645D15">
              <w:rPr>
                <w:noProof/>
                <w:webHidden/>
              </w:rPr>
            </w:r>
            <w:r w:rsidR="00645D15">
              <w:rPr>
                <w:noProof/>
                <w:webHidden/>
              </w:rPr>
              <w:fldChar w:fldCharType="separate"/>
            </w:r>
            <w:r w:rsidR="00645D15">
              <w:rPr>
                <w:noProof/>
                <w:webHidden/>
              </w:rPr>
              <w:t>42</w:t>
            </w:r>
            <w:r w:rsidR="00645D15">
              <w:rPr>
                <w:noProof/>
                <w:webHidden/>
              </w:rPr>
              <w:fldChar w:fldCharType="end"/>
            </w:r>
          </w:hyperlink>
        </w:p>
        <w:p w14:paraId="6A2763F3" w14:textId="09C79426"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90" w:history="1">
            <w:r w:rsidR="00645D15" w:rsidRPr="000E5C4E">
              <w:rPr>
                <w:rStyle w:val="Hyperlink"/>
                <w:noProof/>
              </w:rPr>
              <w:t>4.5</w:t>
            </w:r>
            <w:r w:rsidR="00645D15">
              <w:rPr>
                <w:rFonts w:eastAsiaTheme="minorEastAsia" w:cstheme="minorBidi"/>
                <w:smallCaps w:val="0"/>
                <w:noProof/>
                <w:sz w:val="22"/>
                <w:szCs w:val="22"/>
                <w:lang w:eastAsia="en-GB" w:bidi="ar-SA"/>
              </w:rPr>
              <w:tab/>
            </w:r>
            <w:r w:rsidR="00645D15" w:rsidRPr="000E5C4E">
              <w:rPr>
                <w:rStyle w:val="Hyperlink"/>
                <w:noProof/>
              </w:rPr>
              <w:t>Risk characterisation</w:t>
            </w:r>
            <w:r w:rsidR="00645D15">
              <w:rPr>
                <w:noProof/>
                <w:webHidden/>
              </w:rPr>
              <w:tab/>
            </w:r>
            <w:r w:rsidR="00645D15">
              <w:rPr>
                <w:noProof/>
                <w:webHidden/>
              </w:rPr>
              <w:fldChar w:fldCharType="begin"/>
            </w:r>
            <w:r w:rsidR="00645D15">
              <w:rPr>
                <w:noProof/>
                <w:webHidden/>
              </w:rPr>
              <w:instrText xml:space="preserve"> PAGEREF _Toc526498390 \h </w:instrText>
            </w:r>
            <w:r w:rsidR="00645D15">
              <w:rPr>
                <w:noProof/>
                <w:webHidden/>
              </w:rPr>
            </w:r>
            <w:r w:rsidR="00645D15">
              <w:rPr>
                <w:noProof/>
                <w:webHidden/>
              </w:rPr>
              <w:fldChar w:fldCharType="separate"/>
            </w:r>
            <w:r w:rsidR="00645D15">
              <w:rPr>
                <w:noProof/>
                <w:webHidden/>
              </w:rPr>
              <w:t>49</w:t>
            </w:r>
            <w:r w:rsidR="00645D15">
              <w:rPr>
                <w:noProof/>
                <w:webHidden/>
              </w:rPr>
              <w:fldChar w:fldCharType="end"/>
            </w:r>
          </w:hyperlink>
        </w:p>
        <w:p w14:paraId="04326395" w14:textId="12353C48" w:rsidR="00645D15" w:rsidRDefault="00BD09F0">
          <w:pPr>
            <w:pStyle w:val="TOC3"/>
            <w:rPr>
              <w:rFonts w:eastAsiaTheme="minorEastAsia" w:cstheme="minorBidi"/>
              <w:i w:val="0"/>
              <w:iCs w:val="0"/>
              <w:noProof/>
              <w:sz w:val="22"/>
              <w:szCs w:val="22"/>
              <w:lang w:eastAsia="en-GB" w:bidi="ar-SA"/>
            </w:rPr>
          </w:pPr>
          <w:hyperlink w:anchor="_Toc526498391" w:history="1">
            <w:r w:rsidR="00645D15" w:rsidRPr="000E5C4E">
              <w:rPr>
                <w:rStyle w:val="Hyperlink"/>
                <w:noProof/>
              </w:rPr>
              <w:t>4.5.1</w:t>
            </w:r>
            <w:r w:rsidR="00645D15">
              <w:rPr>
                <w:rFonts w:eastAsiaTheme="minorEastAsia" w:cstheme="minorBidi"/>
                <w:i w:val="0"/>
                <w:iCs w:val="0"/>
                <w:noProof/>
                <w:sz w:val="22"/>
                <w:szCs w:val="22"/>
                <w:lang w:eastAsia="en-GB" w:bidi="ar-SA"/>
              </w:rPr>
              <w:tab/>
            </w:r>
            <w:r w:rsidR="00645D15" w:rsidRPr="000E5C4E">
              <w:rPr>
                <w:rStyle w:val="Hyperlink"/>
                <w:noProof/>
              </w:rPr>
              <w:t>Australians aged 2 years and above</w:t>
            </w:r>
            <w:r w:rsidR="00645D15">
              <w:rPr>
                <w:noProof/>
                <w:webHidden/>
              </w:rPr>
              <w:tab/>
            </w:r>
            <w:r w:rsidR="00645D15">
              <w:rPr>
                <w:noProof/>
                <w:webHidden/>
              </w:rPr>
              <w:fldChar w:fldCharType="begin"/>
            </w:r>
            <w:r w:rsidR="00645D15">
              <w:rPr>
                <w:noProof/>
                <w:webHidden/>
              </w:rPr>
              <w:instrText xml:space="preserve"> PAGEREF _Toc526498391 \h </w:instrText>
            </w:r>
            <w:r w:rsidR="00645D15">
              <w:rPr>
                <w:noProof/>
                <w:webHidden/>
              </w:rPr>
            </w:r>
            <w:r w:rsidR="00645D15">
              <w:rPr>
                <w:noProof/>
                <w:webHidden/>
              </w:rPr>
              <w:fldChar w:fldCharType="separate"/>
            </w:r>
            <w:r w:rsidR="00645D15">
              <w:rPr>
                <w:noProof/>
                <w:webHidden/>
              </w:rPr>
              <w:t>49</w:t>
            </w:r>
            <w:r w:rsidR="00645D15">
              <w:rPr>
                <w:noProof/>
                <w:webHidden/>
              </w:rPr>
              <w:fldChar w:fldCharType="end"/>
            </w:r>
          </w:hyperlink>
        </w:p>
        <w:p w14:paraId="1C22F9BD" w14:textId="0904D349" w:rsidR="00645D15" w:rsidRDefault="00BD09F0">
          <w:pPr>
            <w:pStyle w:val="TOC3"/>
            <w:rPr>
              <w:rFonts w:eastAsiaTheme="minorEastAsia" w:cstheme="minorBidi"/>
              <w:i w:val="0"/>
              <w:iCs w:val="0"/>
              <w:noProof/>
              <w:sz w:val="22"/>
              <w:szCs w:val="22"/>
              <w:lang w:eastAsia="en-GB" w:bidi="ar-SA"/>
            </w:rPr>
          </w:pPr>
          <w:hyperlink w:anchor="_Toc526498392" w:history="1">
            <w:r w:rsidR="00645D15" w:rsidRPr="000E5C4E">
              <w:rPr>
                <w:rStyle w:val="Hyperlink"/>
                <w:noProof/>
              </w:rPr>
              <w:t>4.5.2</w:t>
            </w:r>
            <w:r w:rsidR="00645D15">
              <w:rPr>
                <w:rFonts w:eastAsiaTheme="minorEastAsia" w:cstheme="minorBidi"/>
                <w:i w:val="0"/>
                <w:iCs w:val="0"/>
                <w:noProof/>
                <w:sz w:val="22"/>
                <w:szCs w:val="22"/>
                <w:lang w:eastAsia="en-GB" w:bidi="ar-SA"/>
              </w:rPr>
              <w:tab/>
            </w:r>
            <w:r w:rsidR="00645D15" w:rsidRPr="000E5C4E">
              <w:rPr>
                <w:rStyle w:val="Hyperlink"/>
                <w:noProof/>
              </w:rPr>
              <w:t>New Zealanders aged 15 years and above</w:t>
            </w:r>
            <w:r w:rsidR="00645D15">
              <w:rPr>
                <w:noProof/>
                <w:webHidden/>
              </w:rPr>
              <w:tab/>
            </w:r>
            <w:r w:rsidR="00645D15">
              <w:rPr>
                <w:noProof/>
                <w:webHidden/>
              </w:rPr>
              <w:fldChar w:fldCharType="begin"/>
            </w:r>
            <w:r w:rsidR="00645D15">
              <w:rPr>
                <w:noProof/>
                <w:webHidden/>
              </w:rPr>
              <w:instrText xml:space="preserve"> PAGEREF _Toc526498392 \h </w:instrText>
            </w:r>
            <w:r w:rsidR="00645D15">
              <w:rPr>
                <w:noProof/>
                <w:webHidden/>
              </w:rPr>
            </w:r>
            <w:r w:rsidR="00645D15">
              <w:rPr>
                <w:noProof/>
                <w:webHidden/>
              </w:rPr>
              <w:fldChar w:fldCharType="separate"/>
            </w:r>
            <w:r w:rsidR="00645D15">
              <w:rPr>
                <w:noProof/>
                <w:webHidden/>
              </w:rPr>
              <w:t>51</w:t>
            </w:r>
            <w:r w:rsidR="00645D15">
              <w:rPr>
                <w:noProof/>
                <w:webHidden/>
              </w:rPr>
              <w:fldChar w:fldCharType="end"/>
            </w:r>
          </w:hyperlink>
        </w:p>
        <w:p w14:paraId="04D37A64" w14:textId="5C97EE06" w:rsidR="00645D15" w:rsidRDefault="00BD09F0">
          <w:pPr>
            <w:pStyle w:val="TOC3"/>
            <w:rPr>
              <w:rFonts w:eastAsiaTheme="minorEastAsia" w:cstheme="minorBidi"/>
              <w:i w:val="0"/>
              <w:iCs w:val="0"/>
              <w:noProof/>
              <w:sz w:val="22"/>
              <w:szCs w:val="22"/>
              <w:lang w:eastAsia="en-GB" w:bidi="ar-SA"/>
            </w:rPr>
          </w:pPr>
          <w:hyperlink w:anchor="_Toc526498393" w:history="1">
            <w:r w:rsidR="00645D15" w:rsidRPr="000E5C4E">
              <w:rPr>
                <w:rStyle w:val="Hyperlink"/>
                <w:noProof/>
              </w:rPr>
              <w:t>4.5.3</w:t>
            </w:r>
            <w:r w:rsidR="00645D15">
              <w:rPr>
                <w:rFonts w:eastAsiaTheme="minorEastAsia" w:cstheme="minorBidi"/>
                <w:i w:val="0"/>
                <w:iCs w:val="0"/>
                <w:noProof/>
                <w:sz w:val="22"/>
                <w:szCs w:val="22"/>
                <w:lang w:eastAsia="en-GB" w:bidi="ar-SA"/>
              </w:rPr>
              <w:tab/>
            </w:r>
            <w:r w:rsidR="00645D15" w:rsidRPr="000E5C4E">
              <w:rPr>
                <w:rStyle w:val="Hyperlink"/>
                <w:noProof/>
              </w:rPr>
              <w:t>New Zealanders aged 5-14 years</w:t>
            </w:r>
            <w:r w:rsidR="00645D15">
              <w:rPr>
                <w:noProof/>
                <w:webHidden/>
              </w:rPr>
              <w:tab/>
            </w:r>
            <w:r w:rsidR="00645D15">
              <w:rPr>
                <w:noProof/>
                <w:webHidden/>
              </w:rPr>
              <w:fldChar w:fldCharType="begin"/>
            </w:r>
            <w:r w:rsidR="00645D15">
              <w:rPr>
                <w:noProof/>
                <w:webHidden/>
              </w:rPr>
              <w:instrText xml:space="preserve"> PAGEREF _Toc526498393 \h </w:instrText>
            </w:r>
            <w:r w:rsidR="00645D15">
              <w:rPr>
                <w:noProof/>
                <w:webHidden/>
              </w:rPr>
            </w:r>
            <w:r w:rsidR="00645D15">
              <w:rPr>
                <w:noProof/>
                <w:webHidden/>
              </w:rPr>
              <w:fldChar w:fldCharType="separate"/>
            </w:r>
            <w:r w:rsidR="00645D15">
              <w:rPr>
                <w:noProof/>
                <w:webHidden/>
              </w:rPr>
              <w:t>52</w:t>
            </w:r>
            <w:r w:rsidR="00645D15">
              <w:rPr>
                <w:noProof/>
                <w:webHidden/>
              </w:rPr>
              <w:fldChar w:fldCharType="end"/>
            </w:r>
          </w:hyperlink>
        </w:p>
        <w:p w14:paraId="400B00AE" w14:textId="6C93A49D"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94" w:history="1">
            <w:r w:rsidR="00645D15" w:rsidRPr="000E5C4E">
              <w:rPr>
                <w:rStyle w:val="Hyperlink"/>
                <w:noProof/>
              </w:rPr>
              <w:t>4.6</w:t>
            </w:r>
            <w:r w:rsidR="00645D15">
              <w:rPr>
                <w:rFonts w:eastAsiaTheme="minorEastAsia" w:cstheme="minorBidi"/>
                <w:smallCaps w:val="0"/>
                <w:noProof/>
                <w:sz w:val="22"/>
                <w:szCs w:val="22"/>
                <w:lang w:eastAsia="en-GB" w:bidi="ar-SA"/>
              </w:rPr>
              <w:tab/>
            </w:r>
            <w:r w:rsidR="00645D15" w:rsidRPr="000E5C4E">
              <w:rPr>
                <w:rStyle w:val="Hyperlink"/>
                <w:noProof/>
              </w:rPr>
              <w:t>Summary of results</w:t>
            </w:r>
            <w:r w:rsidR="00645D15">
              <w:rPr>
                <w:noProof/>
                <w:webHidden/>
              </w:rPr>
              <w:tab/>
            </w:r>
            <w:r w:rsidR="00645D15">
              <w:rPr>
                <w:noProof/>
                <w:webHidden/>
              </w:rPr>
              <w:fldChar w:fldCharType="begin"/>
            </w:r>
            <w:r w:rsidR="00645D15">
              <w:rPr>
                <w:noProof/>
                <w:webHidden/>
              </w:rPr>
              <w:instrText xml:space="preserve"> PAGEREF _Toc526498394 \h </w:instrText>
            </w:r>
            <w:r w:rsidR="00645D15">
              <w:rPr>
                <w:noProof/>
                <w:webHidden/>
              </w:rPr>
            </w:r>
            <w:r w:rsidR="00645D15">
              <w:rPr>
                <w:noProof/>
                <w:webHidden/>
              </w:rPr>
              <w:fldChar w:fldCharType="separate"/>
            </w:r>
            <w:r w:rsidR="00645D15">
              <w:rPr>
                <w:noProof/>
                <w:webHidden/>
              </w:rPr>
              <w:t>52</w:t>
            </w:r>
            <w:r w:rsidR="00645D15">
              <w:rPr>
                <w:noProof/>
                <w:webHidden/>
              </w:rPr>
              <w:fldChar w:fldCharType="end"/>
            </w:r>
          </w:hyperlink>
        </w:p>
        <w:p w14:paraId="0125EF74" w14:textId="684DC838" w:rsidR="00645D15" w:rsidRDefault="00BD09F0">
          <w:pPr>
            <w:pStyle w:val="TOC1"/>
            <w:rPr>
              <w:rFonts w:eastAsiaTheme="minorEastAsia" w:cstheme="minorBidi"/>
              <w:b w:val="0"/>
              <w:bCs w:val="0"/>
              <w:caps w:val="0"/>
              <w:noProof/>
              <w:sz w:val="22"/>
              <w:szCs w:val="22"/>
              <w:lang w:eastAsia="en-GB" w:bidi="ar-SA"/>
            </w:rPr>
          </w:pPr>
          <w:hyperlink w:anchor="_Toc526498395" w:history="1">
            <w:r w:rsidR="00645D15" w:rsidRPr="000E5C4E">
              <w:rPr>
                <w:rStyle w:val="Hyperlink"/>
                <w:noProof/>
              </w:rPr>
              <w:t>5</w:t>
            </w:r>
            <w:r w:rsidR="00645D15">
              <w:rPr>
                <w:rFonts w:eastAsiaTheme="minorEastAsia" w:cstheme="minorBidi"/>
                <w:b w:val="0"/>
                <w:bCs w:val="0"/>
                <w:caps w:val="0"/>
                <w:noProof/>
                <w:sz w:val="22"/>
                <w:szCs w:val="22"/>
                <w:lang w:eastAsia="en-GB" w:bidi="ar-SA"/>
              </w:rPr>
              <w:tab/>
            </w:r>
            <w:r w:rsidR="00645D15" w:rsidRPr="000E5C4E">
              <w:rPr>
                <w:rStyle w:val="Hyperlink"/>
                <w:noProof/>
              </w:rPr>
              <w:t>Conclusion</w:t>
            </w:r>
            <w:r w:rsidR="00645D15">
              <w:rPr>
                <w:noProof/>
                <w:webHidden/>
              </w:rPr>
              <w:tab/>
            </w:r>
            <w:r w:rsidR="00645D15">
              <w:rPr>
                <w:noProof/>
                <w:webHidden/>
              </w:rPr>
              <w:fldChar w:fldCharType="begin"/>
            </w:r>
            <w:r w:rsidR="00645D15">
              <w:rPr>
                <w:noProof/>
                <w:webHidden/>
              </w:rPr>
              <w:instrText xml:space="preserve"> PAGEREF _Toc526498395 \h </w:instrText>
            </w:r>
            <w:r w:rsidR="00645D15">
              <w:rPr>
                <w:noProof/>
                <w:webHidden/>
              </w:rPr>
            </w:r>
            <w:r w:rsidR="00645D15">
              <w:rPr>
                <w:noProof/>
                <w:webHidden/>
              </w:rPr>
              <w:fldChar w:fldCharType="separate"/>
            </w:r>
            <w:r w:rsidR="00645D15">
              <w:rPr>
                <w:noProof/>
                <w:webHidden/>
              </w:rPr>
              <w:t>53</w:t>
            </w:r>
            <w:r w:rsidR="00645D15">
              <w:rPr>
                <w:noProof/>
                <w:webHidden/>
              </w:rPr>
              <w:fldChar w:fldCharType="end"/>
            </w:r>
          </w:hyperlink>
        </w:p>
        <w:p w14:paraId="275FD942" w14:textId="65F105A2" w:rsidR="00645D15" w:rsidRDefault="00BD09F0">
          <w:pPr>
            <w:pStyle w:val="TOC1"/>
            <w:rPr>
              <w:rFonts w:eastAsiaTheme="minorEastAsia" w:cstheme="minorBidi"/>
              <w:b w:val="0"/>
              <w:bCs w:val="0"/>
              <w:caps w:val="0"/>
              <w:noProof/>
              <w:sz w:val="22"/>
              <w:szCs w:val="22"/>
              <w:lang w:eastAsia="en-GB" w:bidi="ar-SA"/>
            </w:rPr>
          </w:pPr>
          <w:hyperlink w:anchor="_Toc526498396" w:history="1">
            <w:r w:rsidR="00645D15" w:rsidRPr="000E5C4E">
              <w:rPr>
                <w:rStyle w:val="Hyperlink"/>
                <w:noProof/>
              </w:rPr>
              <w:t>References</w:t>
            </w:r>
            <w:r w:rsidR="00645D15">
              <w:rPr>
                <w:noProof/>
                <w:webHidden/>
              </w:rPr>
              <w:tab/>
            </w:r>
            <w:r w:rsidR="00645D15">
              <w:rPr>
                <w:noProof/>
                <w:webHidden/>
              </w:rPr>
              <w:fldChar w:fldCharType="begin"/>
            </w:r>
            <w:r w:rsidR="00645D15">
              <w:rPr>
                <w:noProof/>
                <w:webHidden/>
              </w:rPr>
              <w:instrText xml:space="preserve"> PAGEREF _Toc526498396 \h </w:instrText>
            </w:r>
            <w:r w:rsidR="00645D15">
              <w:rPr>
                <w:noProof/>
                <w:webHidden/>
              </w:rPr>
            </w:r>
            <w:r w:rsidR="00645D15">
              <w:rPr>
                <w:noProof/>
                <w:webHidden/>
              </w:rPr>
              <w:fldChar w:fldCharType="separate"/>
            </w:r>
            <w:r w:rsidR="00645D15">
              <w:rPr>
                <w:noProof/>
                <w:webHidden/>
              </w:rPr>
              <w:t>54</w:t>
            </w:r>
            <w:r w:rsidR="00645D15">
              <w:rPr>
                <w:noProof/>
                <w:webHidden/>
              </w:rPr>
              <w:fldChar w:fldCharType="end"/>
            </w:r>
          </w:hyperlink>
        </w:p>
        <w:p w14:paraId="231E8196" w14:textId="647AF597" w:rsidR="00645D15" w:rsidRDefault="00BD09F0">
          <w:pPr>
            <w:pStyle w:val="TOC1"/>
            <w:rPr>
              <w:rFonts w:eastAsiaTheme="minorEastAsia" w:cstheme="minorBidi"/>
              <w:b w:val="0"/>
              <w:bCs w:val="0"/>
              <w:caps w:val="0"/>
              <w:noProof/>
              <w:sz w:val="22"/>
              <w:szCs w:val="22"/>
              <w:lang w:eastAsia="en-GB" w:bidi="ar-SA"/>
            </w:rPr>
          </w:pPr>
          <w:hyperlink w:anchor="_Toc526498397" w:history="1">
            <w:r w:rsidR="00645D15" w:rsidRPr="000E5C4E">
              <w:rPr>
                <w:rStyle w:val="Hyperlink"/>
                <w:noProof/>
              </w:rPr>
              <w:t>Appendix 1: Dietary Exposure Assessments at FSANZ</w:t>
            </w:r>
            <w:r w:rsidR="00645D15">
              <w:rPr>
                <w:noProof/>
                <w:webHidden/>
              </w:rPr>
              <w:tab/>
            </w:r>
            <w:r w:rsidR="00645D15">
              <w:rPr>
                <w:noProof/>
                <w:webHidden/>
              </w:rPr>
              <w:fldChar w:fldCharType="begin"/>
            </w:r>
            <w:r w:rsidR="00645D15">
              <w:rPr>
                <w:noProof/>
                <w:webHidden/>
              </w:rPr>
              <w:instrText xml:space="preserve"> PAGEREF _Toc526498397 \h </w:instrText>
            </w:r>
            <w:r w:rsidR="00645D15">
              <w:rPr>
                <w:noProof/>
                <w:webHidden/>
              </w:rPr>
            </w:r>
            <w:r w:rsidR="00645D15">
              <w:rPr>
                <w:noProof/>
                <w:webHidden/>
              </w:rPr>
              <w:fldChar w:fldCharType="separate"/>
            </w:r>
            <w:r w:rsidR="00645D15">
              <w:rPr>
                <w:noProof/>
                <w:webHidden/>
              </w:rPr>
              <w:t>58</w:t>
            </w:r>
            <w:r w:rsidR="00645D15">
              <w:rPr>
                <w:noProof/>
                <w:webHidden/>
              </w:rPr>
              <w:fldChar w:fldCharType="end"/>
            </w:r>
          </w:hyperlink>
        </w:p>
        <w:p w14:paraId="645E16D8" w14:textId="7D556861"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398" w:history="1">
            <w:r w:rsidR="00645D15" w:rsidRPr="000E5C4E">
              <w:rPr>
                <w:rStyle w:val="Hyperlink"/>
                <w:noProof/>
              </w:rPr>
              <w:t>A1.1</w:t>
            </w:r>
            <w:r w:rsidR="00645D15">
              <w:rPr>
                <w:rFonts w:eastAsiaTheme="minorEastAsia" w:cstheme="minorBidi"/>
                <w:smallCaps w:val="0"/>
                <w:noProof/>
                <w:sz w:val="22"/>
                <w:szCs w:val="22"/>
                <w:lang w:eastAsia="en-GB" w:bidi="ar-SA"/>
              </w:rPr>
              <w:tab/>
            </w:r>
            <w:r w:rsidR="00645D15" w:rsidRPr="000E5C4E">
              <w:rPr>
                <w:rStyle w:val="Hyperlink"/>
                <w:noProof/>
              </w:rPr>
              <w:t>Food consumption data used</w:t>
            </w:r>
            <w:r w:rsidR="00645D15">
              <w:rPr>
                <w:noProof/>
                <w:webHidden/>
              </w:rPr>
              <w:tab/>
            </w:r>
            <w:r w:rsidR="00645D15">
              <w:rPr>
                <w:noProof/>
                <w:webHidden/>
              </w:rPr>
              <w:fldChar w:fldCharType="begin"/>
            </w:r>
            <w:r w:rsidR="00645D15">
              <w:rPr>
                <w:noProof/>
                <w:webHidden/>
              </w:rPr>
              <w:instrText xml:space="preserve"> PAGEREF _Toc526498398 \h </w:instrText>
            </w:r>
            <w:r w:rsidR="00645D15">
              <w:rPr>
                <w:noProof/>
                <w:webHidden/>
              </w:rPr>
            </w:r>
            <w:r w:rsidR="00645D15">
              <w:rPr>
                <w:noProof/>
                <w:webHidden/>
              </w:rPr>
              <w:fldChar w:fldCharType="separate"/>
            </w:r>
            <w:r w:rsidR="00645D15">
              <w:rPr>
                <w:noProof/>
                <w:webHidden/>
              </w:rPr>
              <w:t>58</w:t>
            </w:r>
            <w:r w:rsidR="00645D15">
              <w:rPr>
                <w:noProof/>
                <w:webHidden/>
              </w:rPr>
              <w:fldChar w:fldCharType="end"/>
            </w:r>
          </w:hyperlink>
        </w:p>
        <w:p w14:paraId="089F3945" w14:textId="35AF643E" w:rsidR="00645D15" w:rsidRDefault="00BD09F0">
          <w:pPr>
            <w:pStyle w:val="TOC3"/>
            <w:rPr>
              <w:rFonts w:eastAsiaTheme="minorEastAsia" w:cstheme="minorBidi"/>
              <w:i w:val="0"/>
              <w:iCs w:val="0"/>
              <w:noProof/>
              <w:sz w:val="22"/>
              <w:szCs w:val="22"/>
              <w:lang w:eastAsia="en-GB" w:bidi="ar-SA"/>
            </w:rPr>
          </w:pPr>
          <w:hyperlink w:anchor="_Toc526498399" w:history="1">
            <w:r w:rsidR="00645D15" w:rsidRPr="000E5C4E">
              <w:rPr>
                <w:rStyle w:val="Hyperlink"/>
                <w:noProof/>
              </w:rPr>
              <w:t>A1.1.1</w:t>
            </w:r>
            <w:r w:rsidR="00645D15">
              <w:rPr>
                <w:rFonts w:eastAsiaTheme="minorEastAsia" w:cstheme="minorBidi"/>
                <w:i w:val="0"/>
                <w:iCs w:val="0"/>
                <w:noProof/>
                <w:sz w:val="22"/>
                <w:szCs w:val="22"/>
                <w:lang w:eastAsia="en-GB" w:bidi="ar-SA"/>
              </w:rPr>
              <w:tab/>
            </w:r>
            <w:r w:rsidR="00645D15" w:rsidRPr="000E5C4E">
              <w:rPr>
                <w:rStyle w:val="Hyperlink"/>
                <w:noProof/>
              </w:rPr>
              <w:t>2011–12 Australian National Nutrition and Physical Activity Survey (2011-12 NNPAS)</w:t>
            </w:r>
            <w:r w:rsidR="00645D15">
              <w:rPr>
                <w:noProof/>
                <w:webHidden/>
              </w:rPr>
              <w:tab/>
            </w:r>
            <w:r w:rsidR="00645D15">
              <w:rPr>
                <w:noProof/>
                <w:webHidden/>
              </w:rPr>
              <w:fldChar w:fldCharType="begin"/>
            </w:r>
            <w:r w:rsidR="00645D15">
              <w:rPr>
                <w:noProof/>
                <w:webHidden/>
              </w:rPr>
              <w:instrText xml:space="preserve"> PAGEREF _Toc526498399 \h </w:instrText>
            </w:r>
            <w:r w:rsidR="00645D15">
              <w:rPr>
                <w:noProof/>
                <w:webHidden/>
              </w:rPr>
            </w:r>
            <w:r w:rsidR="00645D15">
              <w:rPr>
                <w:noProof/>
                <w:webHidden/>
              </w:rPr>
              <w:fldChar w:fldCharType="separate"/>
            </w:r>
            <w:r w:rsidR="00645D15">
              <w:rPr>
                <w:noProof/>
                <w:webHidden/>
              </w:rPr>
              <w:t>59</w:t>
            </w:r>
            <w:r w:rsidR="00645D15">
              <w:rPr>
                <w:noProof/>
                <w:webHidden/>
              </w:rPr>
              <w:fldChar w:fldCharType="end"/>
            </w:r>
          </w:hyperlink>
        </w:p>
        <w:p w14:paraId="5F64D14C" w14:textId="49B1D519" w:rsidR="00645D15" w:rsidRDefault="00BD09F0">
          <w:pPr>
            <w:pStyle w:val="TOC3"/>
            <w:rPr>
              <w:rFonts w:eastAsiaTheme="minorEastAsia" w:cstheme="minorBidi"/>
              <w:i w:val="0"/>
              <w:iCs w:val="0"/>
              <w:noProof/>
              <w:sz w:val="22"/>
              <w:szCs w:val="22"/>
              <w:lang w:eastAsia="en-GB" w:bidi="ar-SA"/>
            </w:rPr>
          </w:pPr>
          <w:hyperlink w:anchor="_Toc526498400" w:history="1">
            <w:r w:rsidR="00645D15" w:rsidRPr="000E5C4E">
              <w:rPr>
                <w:rStyle w:val="Hyperlink"/>
                <w:noProof/>
              </w:rPr>
              <w:t>A1.1.2</w:t>
            </w:r>
            <w:r w:rsidR="00645D15">
              <w:rPr>
                <w:rFonts w:eastAsiaTheme="minorEastAsia" w:cstheme="minorBidi"/>
                <w:i w:val="0"/>
                <w:iCs w:val="0"/>
                <w:noProof/>
                <w:sz w:val="22"/>
                <w:szCs w:val="22"/>
                <w:lang w:eastAsia="en-GB" w:bidi="ar-SA"/>
              </w:rPr>
              <w:tab/>
            </w:r>
            <w:r w:rsidR="00645D15" w:rsidRPr="000E5C4E">
              <w:rPr>
                <w:rStyle w:val="Hyperlink"/>
                <w:noProof/>
              </w:rPr>
              <w:t>2002 New Zealand National Children’s Nutrition Survey (2002 NZ CNS)</w:t>
            </w:r>
            <w:r w:rsidR="00645D15">
              <w:rPr>
                <w:noProof/>
                <w:webHidden/>
              </w:rPr>
              <w:tab/>
            </w:r>
            <w:r w:rsidR="00645D15">
              <w:rPr>
                <w:noProof/>
                <w:webHidden/>
              </w:rPr>
              <w:fldChar w:fldCharType="begin"/>
            </w:r>
            <w:r w:rsidR="00645D15">
              <w:rPr>
                <w:noProof/>
                <w:webHidden/>
              </w:rPr>
              <w:instrText xml:space="preserve"> PAGEREF _Toc526498400 \h </w:instrText>
            </w:r>
            <w:r w:rsidR="00645D15">
              <w:rPr>
                <w:noProof/>
                <w:webHidden/>
              </w:rPr>
            </w:r>
            <w:r w:rsidR="00645D15">
              <w:rPr>
                <w:noProof/>
                <w:webHidden/>
              </w:rPr>
              <w:fldChar w:fldCharType="separate"/>
            </w:r>
            <w:r w:rsidR="00645D15">
              <w:rPr>
                <w:noProof/>
                <w:webHidden/>
              </w:rPr>
              <w:t>59</w:t>
            </w:r>
            <w:r w:rsidR="00645D15">
              <w:rPr>
                <w:noProof/>
                <w:webHidden/>
              </w:rPr>
              <w:fldChar w:fldCharType="end"/>
            </w:r>
          </w:hyperlink>
        </w:p>
        <w:p w14:paraId="39BE4A85" w14:textId="6912CB0D" w:rsidR="00645D15" w:rsidRDefault="00BD09F0">
          <w:pPr>
            <w:pStyle w:val="TOC3"/>
            <w:rPr>
              <w:rFonts w:eastAsiaTheme="minorEastAsia" w:cstheme="minorBidi"/>
              <w:i w:val="0"/>
              <w:iCs w:val="0"/>
              <w:noProof/>
              <w:sz w:val="22"/>
              <w:szCs w:val="22"/>
              <w:lang w:eastAsia="en-GB" w:bidi="ar-SA"/>
            </w:rPr>
          </w:pPr>
          <w:hyperlink w:anchor="_Toc526498401" w:history="1">
            <w:r w:rsidR="00645D15" w:rsidRPr="000E5C4E">
              <w:rPr>
                <w:rStyle w:val="Hyperlink"/>
                <w:rFonts w:eastAsia="Calibri"/>
                <w:noProof/>
              </w:rPr>
              <w:t>A1.1.3</w:t>
            </w:r>
            <w:r w:rsidR="00645D15">
              <w:rPr>
                <w:rFonts w:eastAsiaTheme="minorEastAsia" w:cstheme="minorBidi"/>
                <w:i w:val="0"/>
                <w:iCs w:val="0"/>
                <w:noProof/>
                <w:sz w:val="22"/>
                <w:szCs w:val="22"/>
                <w:lang w:eastAsia="en-GB" w:bidi="ar-SA"/>
              </w:rPr>
              <w:tab/>
            </w:r>
            <w:r w:rsidR="00645D15" w:rsidRPr="000E5C4E">
              <w:rPr>
                <w:rStyle w:val="Hyperlink"/>
                <w:rFonts w:eastAsia="Calibri"/>
                <w:noProof/>
              </w:rPr>
              <w:t>2008-09 New Zealand Adult Nutrition Survey (2008 NZ ANS)</w:t>
            </w:r>
            <w:r w:rsidR="00645D15">
              <w:rPr>
                <w:noProof/>
                <w:webHidden/>
              </w:rPr>
              <w:tab/>
            </w:r>
            <w:r w:rsidR="00645D15">
              <w:rPr>
                <w:noProof/>
                <w:webHidden/>
              </w:rPr>
              <w:fldChar w:fldCharType="begin"/>
            </w:r>
            <w:r w:rsidR="00645D15">
              <w:rPr>
                <w:noProof/>
                <w:webHidden/>
              </w:rPr>
              <w:instrText xml:space="preserve"> PAGEREF _Toc526498401 \h </w:instrText>
            </w:r>
            <w:r w:rsidR="00645D15">
              <w:rPr>
                <w:noProof/>
                <w:webHidden/>
              </w:rPr>
            </w:r>
            <w:r w:rsidR="00645D15">
              <w:rPr>
                <w:noProof/>
                <w:webHidden/>
              </w:rPr>
              <w:fldChar w:fldCharType="separate"/>
            </w:r>
            <w:r w:rsidR="00645D15">
              <w:rPr>
                <w:noProof/>
                <w:webHidden/>
              </w:rPr>
              <w:t>59</w:t>
            </w:r>
            <w:r w:rsidR="00645D15">
              <w:rPr>
                <w:noProof/>
                <w:webHidden/>
              </w:rPr>
              <w:fldChar w:fldCharType="end"/>
            </w:r>
          </w:hyperlink>
        </w:p>
        <w:p w14:paraId="543D9819" w14:textId="7A0313DB" w:rsidR="00645D15" w:rsidRDefault="00BD09F0">
          <w:pPr>
            <w:pStyle w:val="TOC2"/>
            <w:tabs>
              <w:tab w:val="left" w:pos="880"/>
              <w:tab w:val="right" w:leader="dot" w:pos="9060"/>
            </w:tabs>
            <w:rPr>
              <w:rFonts w:eastAsiaTheme="minorEastAsia" w:cstheme="minorBidi"/>
              <w:smallCaps w:val="0"/>
              <w:noProof/>
              <w:sz w:val="22"/>
              <w:szCs w:val="22"/>
              <w:lang w:eastAsia="en-GB" w:bidi="ar-SA"/>
            </w:rPr>
          </w:pPr>
          <w:hyperlink w:anchor="_Toc526498402" w:history="1">
            <w:r w:rsidR="00645D15" w:rsidRPr="000E5C4E">
              <w:rPr>
                <w:rStyle w:val="Hyperlink"/>
                <w:noProof/>
              </w:rPr>
              <w:t>A1.2</w:t>
            </w:r>
            <w:r w:rsidR="00645D15">
              <w:rPr>
                <w:rFonts w:eastAsiaTheme="minorEastAsia" w:cstheme="minorBidi"/>
                <w:smallCaps w:val="0"/>
                <w:noProof/>
                <w:sz w:val="22"/>
                <w:szCs w:val="22"/>
                <w:lang w:eastAsia="en-GB" w:bidi="ar-SA"/>
              </w:rPr>
              <w:tab/>
            </w:r>
            <w:r w:rsidR="00645D15" w:rsidRPr="000E5C4E">
              <w:rPr>
                <w:rStyle w:val="Hyperlink"/>
                <w:noProof/>
              </w:rPr>
              <w:t xml:space="preserve"> Limitations of dietary exposure assessments</w:t>
            </w:r>
            <w:r w:rsidR="00645D15">
              <w:rPr>
                <w:noProof/>
                <w:webHidden/>
              </w:rPr>
              <w:tab/>
            </w:r>
            <w:r w:rsidR="00645D15">
              <w:rPr>
                <w:noProof/>
                <w:webHidden/>
              </w:rPr>
              <w:fldChar w:fldCharType="begin"/>
            </w:r>
            <w:r w:rsidR="00645D15">
              <w:rPr>
                <w:noProof/>
                <w:webHidden/>
              </w:rPr>
              <w:instrText xml:space="preserve"> PAGEREF _Toc526498402 \h </w:instrText>
            </w:r>
            <w:r w:rsidR="00645D15">
              <w:rPr>
                <w:noProof/>
                <w:webHidden/>
              </w:rPr>
            </w:r>
            <w:r w:rsidR="00645D15">
              <w:rPr>
                <w:noProof/>
                <w:webHidden/>
              </w:rPr>
              <w:fldChar w:fldCharType="separate"/>
            </w:r>
            <w:r w:rsidR="00645D15">
              <w:rPr>
                <w:noProof/>
                <w:webHidden/>
              </w:rPr>
              <w:t>59</w:t>
            </w:r>
            <w:r w:rsidR="00645D15">
              <w:rPr>
                <w:noProof/>
                <w:webHidden/>
              </w:rPr>
              <w:fldChar w:fldCharType="end"/>
            </w:r>
          </w:hyperlink>
        </w:p>
        <w:p w14:paraId="2865A843" w14:textId="2EBE3BF5" w:rsidR="00CF3931" w:rsidRDefault="00CF3931">
          <w:r>
            <w:rPr>
              <w:b/>
              <w:bCs/>
              <w:noProof/>
            </w:rPr>
            <w:fldChar w:fldCharType="end"/>
          </w:r>
        </w:p>
      </w:sdtContent>
    </w:sdt>
    <w:p w14:paraId="5928A03C" w14:textId="77777777" w:rsidR="00FC71A8" w:rsidRDefault="00FC71A8" w:rsidP="00772BDC">
      <w:pPr>
        <w:sectPr w:rsidR="00FC71A8" w:rsidSect="001F7ACF">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76C5861C" w14:textId="1513A27D" w:rsidR="00D03F63" w:rsidRPr="00D03F63" w:rsidRDefault="00D03F63" w:rsidP="00D03F63">
      <w:pPr>
        <w:keepNext/>
        <w:spacing w:before="240" w:after="240"/>
        <w:ind w:left="851" w:hanging="851"/>
        <w:outlineLvl w:val="0"/>
        <w:rPr>
          <w:b/>
          <w:bCs/>
          <w:sz w:val="36"/>
          <w:szCs w:val="28"/>
          <w:lang w:bidi="ar-SA"/>
        </w:rPr>
      </w:pPr>
      <w:bookmarkStart w:id="10" w:name="_Toc517709864"/>
      <w:bookmarkStart w:id="11" w:name="_Toc518388264"/>
      <w:bookmarkStart w:id="12" w:name="_Toc526498353"/>
      <w:bookmarkStart w:id="13" w:name="_Toc516056517"/>
      <w:r w:rsidRPr="00D03F63">
        <w:rPr>
          <w:b/>
          <w:bCs/>
          <w:sz w:val="36"/>
          <w:szCs w:val="28"/>
          <w:lang w:bidi="ar-SA"/>
        </w:rPr>
        <w:lastRenderedPageBreak/>
        <w:t>1</w:t>
      </w:r>
      <w:r w:rsidRPr="00D03F63">
        <w:rPr>
          <w:b/>
          <w:bCs/>
          <w:sz w:val="36"/>
          <w:szCs w:val="28"/>
          <w:lang w:bidi="ar-SA"/>
        </w:rPr>
        <w:tab/>
      </w:r>
      <w:r w:rsidR="00D838B0">
        <w:rPr>
          <w:b/>
          <w:bCs/>
          <w:sz w:val="36"/>
          <w:szCs w:val="28"/>
          <w:lang w:bidi="ar-SA"/>
        </w:rPr>
        <w:t>Objectives of the assessment</w:t>
      </w:r>
      <w:bookmarkEnd w:id="10"/>
      <w:bookmarkEnd w:id="11"/>
      <w:bookmarkEnd w:id="12"/>
      <w:r w:rsidR="00D838B0">
        <w:rPr>
          <w:b/>
          <w:bCs/>
          <w:sz w:val="36"/>
          <w:szCs w:val="28"/>
          <w:lang w:bidi="ar-SA"/>
        </w:rPr>
        <w:t xml:space="preserve"> </w:t>
      </w:r>
      <w:bookmarkEnd w:id="13"/>
    </w:p>
    <w:p w14:paraId="4C487F71" w14:textId="4014EA20" w:rsidR="00FC3C10" w:rsidRPr="00D03F63" w:rsidRDefault="00FC3C10" w:rsidP="00FC3C10">
      <w:pPr>
        <w:tabs>
          <w:tab w:val="left" w:pos="993"/>
        </w:tabs>
      </w:pPr>
      <w:bookmarkStart w:id="14" w:name="_Toc516056518"/>
      <w:r w:rsidRPr="00D03F63">
        <w:t>K</w:t>
      </w:r>
      <w:r w:rsidR="000A7661">
        <w:t>alsec</w:t>
      </w:r>
      <w:r w:rsidRPr="00D03F63">
        <w:t xml:space="preserve"> Inc of Michigan in the United States</w:t>
      </w:r>
      <w:r w:rsidR="00752A8E">
        <w:t xml:space="preserve"> applied to change the Australia New Zealand Food Standards Code (the Code) </w:t>
      </w:r>
      <w:r w:rsidRPr="00D03F63">
        <w:t>to permit the use of rosemary extract as a food additive for its antioxida</w:t>
      </w:r>
      <w:r w:rsidR="00752A8E">
        <w:t xml:space="preserve">nt </w:t>
      </w:r>
      <w:r w:rsidRPr="00D03F63">
        <w:t xml:space="preserve">properties in foods. </w:t>
      </w:r>
    </w:p>
    <w:p w14:paraId="144DF0D7" w14:textId="77777777" w:rsidR="00FC3C10" w:rsidRPr="00D03F63" w:rsidRDefault="00FC3C10" w:rsidP="00FC3C10">
      <w:pPr>
        <w:tabs>
          <w:tab w:val="left" w:pos="993"/>
        </w:tabs>
      </w:pPr>
    </w:p>
    <w:p w14:paraId="5B4CE637" w14:textId="04496F73" w:rsidR="00097558" w:rsidRDefault="00097558" w:rsidP="004A3FBB">
      <w:r>
        <w:t>P</w:t>
      </w:r>
      <w:r w:rsidR="00FC3C10" w:rsidRPr="00D03F63">
        <w:t>ermission</w:t>
      </w:r>
      <w:r>
        <w:t xml:space="preserve">s are sought for </w:t>
      </w:r>
      <w:r w:rsidR="00BC32E2">
        <w:t xml:space="preserve">use of </w:t>
      </w:r>
      <w:r w:rsidR="00752A8E">
        <w:t>the extract</w:t>
      </w:r>
      <w:r w:rsidR="00BC32E2">
        <w:t xml:space="preserve"> in </w:t>
      </w:r>
      <w:r>
        <w:t xml:space="preserve">a range of </w:t>
      </w:r>
      <w:r w:rsidR="00FC3C10" w:rsidRPr="00D03F63">
        <w:t>food</w:t>
      </w:r>
      <w:r>
        <w:t xml:space="preserve"> categories </w:t>
      </w:r>
      <w:r w:rsidR="00752A8E">
        <w:t>including</w:t>
      </w:r>
      <w:r w:rsidR="00FC3C10" w:rsidRPr="00D03F63">
        <w:t xml:space="preserve"> edible oils, fruit and vegetable spreads, icings and frostings, breakfast cereals and cereal bars, flour-based snacks, biscuits and cakes, processed meats, sausage meats, sauces and toppings, processed nuts, and potato chips</w:t>
      </w:r>
      <w:r>
        <w:t>. M</w:t>
      </w:r>
      <w:r w:rsidR="00FC3C10" w:rsidRPr="00D03F63">
        <w:t xml:space="preserve">aximum </w:t>
      </w:r>
      <w:r w:rsidR="007415EF">
        <w:t>p</w:t>
      </w:r>
      <w:r w:rsidR="00FC3C10" w:rsidRPr="00D03F63">
        <w:t xml:space="preserve">ermitted </w:t>
      </w:r>
      <w:r w:rsidR="007415EF">
        <w:t>l</w:t>
      </w:r>
      <w:r w:rsidR="00FC3C10" w:rsidRPr="00D03F63">
        <w:t>evels</w:t>
      </w:r>
      <w:r w:rsidR="00FE177F">
        <w:t xml:space="preserve"> (MPL</w:t>
      </w:r>
      <w:r w:rsidR="00DF662D">
        <w:t>s</w:t>
      </w:r>
      <w:r w:rsidR="00FE177F">
        <w:t>)</w:t>
      </w:r>
      <w:r w:rsidR="00FC3C10" w:rsidRPr="00D03F63">
        <w:t xml:space="preserve"> </w:t>
      </w:r>
      <w:r>
        <w:t xml:space="preserve">have been </w:t>
      </w:r>
      <w:r w:rsidR="00FC3C10" w:rsidRPr="00D03F63">
        <w:t>specified for each</w:t>
      </w:r>
      <w:r w:rsidR="00752A8E">
        <w:t xml:space="preserve"> of these foods</w:t>
      </w:r>
      <w:r w:rsidR="00FC3C10" w:rsidRPr="00D03F63">
        <w:t>.</w:t>
      </w:r>
    </w:p>
    <w:p w14:paraId="31496C69" w14:textId="2482DA16" w:rsidR="00097558" w:rsidRDefault="00097558" w:rsidP="004A3FBB"/>
    <w:p w14:paraId="562B0D61" w14:textId="44D7724A" w:rsidR="00097558" w:rsidRDefault="00097558" w:rsidP="00097558">
      <w:r w:rsidRPr="00D03F63">
        <w:t>There are no permission</w:t>
      </w:r>
      <w:r w:rsidR="00BC32E2">
        <w:t>s</w:t>
      </w:r>
      <w:r w:rsidRPr="00D03F63">
        <w:t xml:space="preserve"> for rosemary extract as a food additive in </w:t>
      </w:r>
      <w:r>
        <w:t xml:space="preserve">the Code. If approved, </w:t>
      </w:r>
      <w:r w:rsidR="000F331A">
        <w:t>Standard 1.3.1</w:t>
      </w:r>
      <w:r w:rsidR="000F331A">
        <w:sym w:font="Symbol" w:char="F0BE"/>
      </w:r>
      <w:r w:rsidR="000F331A">
        <w:t xml:space="preserve">4(6) will include </w:t>
      </w:r>
      <w:r w:rsidRPr="006052BA">
        <w:t xml:space="preserve">rosemary extract </w:t>
      </w:r>
      <w:r w:rsidR="000F331A">
        <w:t>calculated as the sum of carnosic acid and carnosol. R</w:t>
      </w:r>
      <w:r w:rsidRPr="006052BA">
        <w:t xml:space="preserve">osemary extract </w:t>
      </w:r>
      <w:r>
        <w:t xml:space="preserve">will be </w:t>
      </w:r>
      <w:r w:rsidR="000F331A">
        <w:t xml:space="preserve">also </w:t>
      </w:r>
      <w:r>
        <w:t>added</w:t>
      </w:r>
      <w:r w:rsidRPr="006052BA">
        <w:t xml:space="preserve"> to the following schedules of the Code:</w:t>
      </w:r>
    </w:p>
    <w:p w14:paraId="004EAE9F" w14:textId="77777777" w:rsidR="00752A8E" w:rsidRPr="006052BA" w:rsidRDefault="00752A8E" w:rsidP="00097558"/>
    <w:p w14:paraId="4CAD1D6D" w14:textId="77777777" w:rsidR="00097558" w:rsidRPr="006052BA" w:rsidRDefault="00097558" w:rsidP="000F331A">
      <w:pPr>
        <w:pStyle w:val="FSBullet1"/>
        <w:rPr>
          <w:rFonts w:eastAsiaTheme="minorHAnsi" w:cstheme="minorBidi"/>
          <w:szCs w:val="22"/>
        </w:rPr>
      </w:pPr>
      <w:r w:rsidRPr="006052BA">
        <w:rPr>
          <w:rFonts w:eastAsiaTheme="minorHAnsi" w:cstheme="minorBidi"/>
          <w:szCs w:val="22"/>
        </w:rPr>
        <w:t>Schedule 8: Food additive names and code numbers (for statement of ingredients)</w:t>
      </w:r>
    </w:p>
    <w:p w14:paraId="12DC15F1" w14:textId="0B58D5B9" w:rsidR="00097558" w:rsidRPr="004749DD" w:rsidRDefault="00097558" w:rsidP="000F331A">
      <w:pPr>
        <w:pStyle w:val="FSBullet1"/>
        <w:rPr>
          <w:rFonts w:eastAsiaTheme="minorHAnsi" w:cstheme="minorBidi"/>
          <w:szCs w:val="22"/>
        </w:rPr>
      </w:pPr>
      <w:r w:rsidRPr="006052BA">
        <w:rPr>
          <w:rFonts w:eastAsiaTheme="minorHAnsi" w:cstheme="minorBidi"/>
          <w:szCs w:val="22"/>
        </w:rPr>
        <w:t>Schedule 15: Substances that may be used as food additives</w:t>
      </w:r>
      <w:r w:rsidR="00752A8E">
        <w:rPr>
          <w:rFonts w:eastAsiaTheme="minorHAnsi" w:cstheme="minorBidi"/>
          <w:szCs w:val="22"/>
        </w:rPr>
        <w:t>.</w:t>
      </w:r>
    </w:p>
    <w:p w14:paraId="20428669" w14:textId="77777777" w:rsidR="00097558" w:rsidRPr="00D03F63" w:rsidRDefault="00097558" w:rsidP="00097558"/>
    <w:p w14:paraId="332B250A" w14:textId="6C05B5B9" w:rsidR="00097558" w:rsidRDefault="00097558" w:rsidP="00097558">
      <w:r w:rsidRPr="00D03F63">
        <w:t>The objectives of the risk and technical assessment are to:</w:t>
      </w:r>
    </w:p>
    <w:p w14:paraId="321975FD" w14:textId="77777777" w:rsidR="00752A8E" w:rsidRPr="00D03F63" w:rsidRDefault="00752A8E" w:rsidP="00097558"/>
    <w:p w14:paraId="1938C1A2" w14:textId="77777777" w:rsidR="00097558" w:rsidRPr="00D03F63" w:rsidRDefault="00097558" w:rsidP="000F331A">
      <w:pPr>
        <w:pStyle w:val="FSBullet1"/>
      </w:pPr>
      <w:r w:rsidRPr="00D03F63">
        <w:t>determine whether rosemary extract performs the technological purpose of an antioxidant in the amounts and foods proposed for its use</w:t>
      </w:r>
    </w:p>
    <w:p w14:paraId="316924E4" w14:textId="77777777" w:rsidR="00097558" w:rsidRPr="00D03F63" w:rsidRDefault="00097558" w:rsidP="000F331A">
      <w:pPr>
        <w:pStyle w:val="FSBullet1"/>
      </w:pPr>
      <w:r w:rsidRPr="00D03F63">
        <w:t>evaluate any potential public health and safety concerns that may arise.</w:t>
      </w:r>
    </w:p>
    <w:p w14:paraId="24E19A67" w14:textId="3831481D" w:rsidR="00D03F63" w:rsidRPr="00D03F63" w:rsidRDefault="00D03F63" w:rsidP="00D03F63">
      <w:pPr>
        <w:keepNext/>
        <w:spacing w:before="240" w:after="240"/>
        <w:ind w:left="851" w:hanging="851"/>
        <w:outlineLvl w:val="0"/>
        <w:rPr>
          <w:b/>
          <w:bCs/>
          <w:sz w:val="36"/>
          <w:szCs w:val="28"/>
          <w:lang w:bidi="ar-SA"/>
        </w:rPr>
      </w:pPr>
      <w:bookmarkStart w:id="15" w:name="_Toc516056519"/>
      <w:bookmarkStart w:id="16" w:name="_Toc517709865"/>
      <w:bookmarkStart w:id="17" w:name="_Toc518388265"/>
      <w:bookmarkStart w:id="18" w:name="_Toc526498354"/>
      <w:bookmarkEnd w:id="14"/>
      <w:r w:rsidRPr="00D03F63">
        <w:rPr>
          <w:b/>
          <w:bCs/>
          <w:sz w:val="36"/>
          <w:szCs w:val="28"/>
          <w:lang w:bidi="ar-SA"/>
        </w:rPr>
        <w:t>2</w:t>
      </w:r>
      <w:r w:rsidRPr="00D03F63">
        <w:rPr>
          <w:b/>
          <w:bCs/>
          <w:sz w:val="36"/>
          <w:szCs w:val="28"/>
          <w:lang w:bidi="ar-SA"/>
        </w:rPr>
        <w:tab/>
        <w:t>Food technology assessment</w:t>
      </w:r>
      <w:bookmarkEnd w:id="15"/>
      <w:bookmarkEnd w:id="16"/>
      <w:bookmarkEnd w:id="17"/>
      <w:bookmarkEnd w:id="18"/>
      <w:r w:rsidRPr="00D03F63">
        <w:rPr>
          <w:b/>
          <w:bCs/>
          <w:sz w:val="36"/>
          <w:szCs w:val="28"/>
          <w:lang w:bidi="ar-SA"/>
        </w:rPr>
        <w:t xml:space="preserve"> </w:t>
      </w:r>
    </w:p>
    <w:p w14:paraId="7DED163D" w14:textId="4CF1484D" w:rsidR="00D03F63" w:rsidRPr="00544398" w:rsidRDefault="00D03F63" w:rsidP="00DF662D">
      <w:pPr>
        <w:pStyle w:val="Heading2"/>
      </w:pPr>
      <w:bookmarkStart w:id="19" w:name="_Toc516056520"/>
      <w:bookmarkStart w:id="20" w:name="_Toc517709866"/>
      <w:bookmarkStart w:id="21" w:name="_Toc518388266"/>
      <w:bookmarkStart w:id="22" w:name="_Toc526498355"/>
      <w:r w:rsidRPr="00544398">
        <w:t>2.1</w:t>
      </w:r>
      <w:r w:rsidRPr="00544398">
        <w:tab/>
      </w:r>
      <w:r w:rsidR="00D838B0" w:rsidRPr="00544398">
        <w:t>D</w:t>
      </w:r>
      <w:r w:rsidRPr="00544398">
        <w:t>escription of the substance</w:t>
      </w:r>
      <w:bookmarkEnd w:id="19"/>
      <w:bookmarkEnd w:id="20"/>
      <w:bookmarkEnd w:id="21"/>
      <w:bookmarkEnd w:id="22"/>
    </w:p>
    <w:p w14:paraId="68B5B75D" w14:textId="28973754" w:rsidR="00097558" w:rsidRDefault="00097558" w:rsidP="00097558">
      <w:pPr>
        <w:tabs>
          <w:tab w:val="left" w:pos="993"/>
        </w:tabs>
      </w:pPr>
      <w:r w:rsidRPr="00D03F63">
        <w:t>Rosemary (</w:t>
      </w:r>
      <w:r w:rsidRPr="00D03F63">
        <w:rPr>
          <w:i/>
        </w:rPr>
        <w:t>Rosmarinus officinallis L)</w:t>
      </w:r>
      <w:r w:rsidRPr="00D03F63">
        <w:t xml:space="preserve"> is a small evergreen shrub native to European countries along the Mediterranean </w:t>
      </w:r>
      <w:r w:rsidR="00495378" w:rsidRPr="00D03F63">
        <w:t>Sea</w:t>
      </w:r>
      <w:r w:rsidRPr="00D03F63">
        <w:t>. Dried or fresh rosemary leaves have a long history of consumption in the human diet as a seasoning. Rosemary extr</w:t>
      </w:r>
      <w:r>
        <w:t xml:space="preserve">acts are </w:t>
      </w:r>
      <w:r w:rsidRPr="00D03F63">
        <w:t>isolated</w:t>
      </w:r>
      <w:r>
        <w:t xml:space="preserve"> by ethanol or acetone extraction of </w:t>
      </w:r>
      <w:r w:rsidRPr="00D03F63">
        <w:t>the dried leaves of the rosemary plant</w:t>
      </w:r>
      <w:r>
        <w:t xml:space="preserve">. </w:t>
      </w:r>
      <w:r w:rsidR="00A637BC">
        <w:t xml:space="preserve">Extracts have also </w:t>
      </w:r>
      <w:r w:rsidRPr="00D03F63">
        <w:t>been used in food preparations for aroma and flavouring properties. Rosemary</w:t>
      </w:r>
      <w:r w:rsidR="00A637BC">
        <w:t xml:space="preserve"> and rosemary extracts are </w:t>
      </w:r>
      <w:r w:rsidRPr="00D03F63">
        <w:t xml:space="preserve">permitted to be used as a flavouring substance under Standard 1.1.2 of the Code as it is listed as a GRAS substance by the Flavour and Extract Manufacturers’ Association of the United States from 1960-2015 (edition 7). </w:t>
      </w:r>
    </w:p>
    <w:p w14:paraId="0D190B3E" w14:textId="0E8EC05E" w:rsidR="00097558" w:rsidRDefault="00097558" w:rsidP="00097558">
      <w:pPr>
        <w:tabs>
          <w:tab w:val="left" w:pos="993"/>
        </w:tabs>
      </w:pPr>
    </w:p>
    <w:p w14:paraId="076E0343" w14:textId="6A85AC5D" w:rsidR="00097558" w:rsidRDefault="00A637BC" w:rsidP="00097558">
      <w:pPr>
        <w:tabs>
          <w:tab w:val="left" w:pos="993"/>
        </w:tabs>
      </w:pPr>
      <w:r w:rsidRPr="00A637BC">
        <w:t>Rosemary extracts contain a number of compounds that have antioxidant properties.</w:t>
      </w:r>
      <w:r>
        <w:t xml:space="preserve"> </w:t>
      </w:r>
      <w:r w:rsidRPr="005F488A">
        <w:t xml:space="preserve">Most of these compounds belong to the </w:t>
      </w:r>
      <w:r>
        <w:t xml:space="preserve">chemical </w:t>
      </w:r>
      <w:r w:rsidRPr="005F488A">
        <w:t>classes</w:t>
      </w:r>
      <w:r>
        <w:t xml:space="preserve"> of</w:t>
      </w:r>
      <w:r w:rsidRPr="005F488A">
        <w:t xml:space="preserve"> phenolic acids, flavonoid diterpenoids and triterpenes. </w:t>
      </w:r>
      <w:r w:rsidR="00097558" w:rsidRPr="005F488A">
        <w:t>The main components of rosemary extract</w:t>
      </w:r>
      <w:r w:rsidRPr="00A637BC">
        <w:t xml:space="preserve">s </w:t>
      </w:r>
      <w:r w:rsidR="00097558" w:rsidRPr="005F488A">
        <w:t xml:space="preserve">that impart the antioxidative properties are two phenolic diterpenes called </w:t>
      </w:r>
      <w:r w:rsidR="00E67220">
        <w:t>carnosol</w:t>
      </w:r>
      <w:r w:rsidR="00097558" w:rsidRPr="005F488A">
        <w:t xml:space="preserve"> and carnosic acid</w:t>
      </w:r>
      <w:r w:rsidR="00097558" w:rsidRPr="00A637BC">
        <w:t>.</w:t>
      </w:r>
      <w:r w:rsidR="00097558" w:rsidRPr="00D03F63">
        <w:t xml:space="preserve"> </w:t>
      </w:r>
      <w:r>
        <w:t>As antioxidants, t</w:t>
      </w:r>
      <w:r w:rsidRPr="00A637BC">
        <w:t>he</w:t>
      </w:r>
      <w:r>
        <w:t xml:space="preserve">se compounds </w:t>
      </w:r>
      <w:r w:rsidRPr="00A637BC">
        <w:t>help stabilise food product</w:t>
      </w:r>
      <w:r w:rsidR="0049611C">
        <w:t>s</w:t>
      </w:r>
      <w:r w:rsidRPr="00A637BC">
        <w:t xml:space="preserve"> and thus extend shelf life. </w:t>
      </w:r>
      <w:r w:rsidR="00097558" w:rsidRPr="00D03F63">
        <w:t>Rosemary extract is approved as a food additive in the E</w:t>
      </w:r>
      <w:r w:rsidR="0049611C">
        <w:t>uropean Union</w:t>
      </w:r>
      <w:r w:rsidR="00097558" w:rsidRPr="00D03F63">
        <w:t>, Japan, Singapore and China.</w:t>
      </w:r>
    </w:p>
    <w:p w14:paraId="73FDD13F" w14:textId="2A256839" w:rsidR="007415EF" w:rsidRDefault="007415EF" w:rsidP="00097558">
      <w:pPr>
        <w:tabs>
          <w:tab w:val="left" w:pos="993"/>
        </w:tabs>
      </w:pPr>
    </w:p>
    <w:p w14:paraId="781C0F65" w14:textId="0EE4B9B1" w:rsidR="007415EF" w:rsidRDefault="007415EF" w:rsidP="00097558">
      <w:pPr>
        <w:tabs>
          <w:tab w:val="left" w:pos="993"/>
        </w:tabs>
      </w:pPr>
      <w:r>
        <w:t>Rosemary extract</w:t>
      </w:r>
      <w:r w:rsidR="00D869F3">
        <w:t xml:space="preserve"> has been assigned </w:t>
      </w:r>
      <w:r>
        <w:t>INS</w:t>
      </w:r>
      <w:r>
        <w:rPr>
          <w:rStyle w:val="FootnoteReference"/>
        </w:rPr>
        <w:footnoteReference w:id="2"/>
      </w:r>
      <w:r w:rsidR="00D869F3">
        <w:t xml:space="preserve"> number </w:t>
      </w:r>
      <w:r>
        <w:t xml:space="preserve">392 by </w:t>
      </w:r>
      <w:r w:rsidR="00D869F3">
        <w:t>the Codex Committee on Food Additives and Contaminants (CCFAC).</w:t>
      </w:r>
    </w:p>
    <w:p w14:paraId="1762A564" w14:textId="7A971AD8" w:rsidR="00D03F63" w:rsidRPr="00D03F63" w:rsidRDefault="00D03F63" w:rsidP="005137FA">
      <w:pPr>
        <w:pStyle w:val="Heading3"/>
      </w:pPr>
      <w:bookmarkStart w:id="23" w:name="_Toc516056521"/>
      <w:bookmarkStart w:id="24" w:name="_Toc517709867"/>
      <w:bookmarkStart w:id="25" w:name="_Toc518388267"/>
      <w:bookmarkStart w:id="26" w:name="_Toc526498356"/>
      <w:r w:rsidRPr="00D03F63">
        <w:lastRenderedPageBreak/>
        <w:t>2.1.1</w:t>
      </w:r>
      <w:r w:rsidRPr="00D03F63">
        <w:tab/>
        <w:t>Identity</w:t>
      </w:r>
      <w:bookmarkEnd w:id="23"/>
      <w:bookmarkEnd w:id="24"/>
      <w:bookmarkEnd w:id="25"/>
      <w:bookmarkEnd w:id="26"/>
      <w:r w:rsidRPr="00D03F63">
        <w:t xml:space="preserve"> </w:t>
      </w:r>
    </w:p>
    <w:p w14:paraId="3E6FB7E2" w14:textId="06EACA27" w:rsidR="00D03F63" w:rsidRPr="00D03F63" w:rsidRDefault="00D03F63" w:rsidP="00D03F63">
      <w:pPr>
        <w:tabs>
          <w:tab w:val="left" w:pos="993"/>
        </w:tabs>
      </w:pPr>
      <w:r w:rsidRPr="00D03F63">
        <w:t xml:space="preserve">Rosemary extract is derived from the dried leaves of the </w:t>
      </w:r>
      <w:r w:rsidRPr="00D03F63">
        <w:rPr>
          <w:i/>
        </w:rPr>
        <w:t xml:space="preserve">Rosemarinus officinalis L. </w:t>
      </w:r>
      <w:r w:rsidRPr="00D03F63">
        <w:t xml:space="preserve">plant. The extract is a mixture of tannins, polyphenols, polysaccharides, triterpenic acids, volatiles, phenolic diterpenes, as well as some protein matter and lipophilic substances. </w:t>
      </w:r>
      <w:r w:rsidR="00E67220">
        <w:t>Carnosol</w:t>
      </w:r>
      <w:r w:rsidR="005F488A">
        <w:t xml:space="preserve"> and carnosic acid are the two </w:t>
      </w:r>
      <w:r w:rsidRPr="00D03F63">
        <w:t xml:space="preserve">phenolic diterpenes responsible for the main antioxidant activity of rosemary extract. </w:t>
      </w:r>
      <w:r w:rsidR="0049611C">
        <w:t>The amount of these</w:t>
      </w:r>
      <w:r w:rsidRPr="00D03F63">
        <w:t xml:space="preserve"> two compounds</w:t>
      </w:r>
      <w:r w:rsidR="00E67220">
        <w:t xml:space="preserve"> </w:t>
      </w:r>
      <w:r w:rsidR="0049611C">
        <w:t xml:space="preserve">contained </w:t>
      </w:r>
      <w:r w:rsidR="00E67220">
        <w:t xml:space="preserve">in extracts </w:t>
      </w:r>
      <w:r w:rsidR="0049611C">
        <w:t>depends</w:t>
      </w:r>
      <w:r w:rsidRPr="00D03F63">
        <w:t xml:space="preserve"> on the starting composition of the dried leaves and the isolation method. </w:t>
      </w:r>
      <w:r w:rsidR="00E67220">
        <w:t xml:space="preserve">Other </w:t>
      </w:r>
      <w:r w:rsidR="005F488A">
        <w:t xml:space="preserve">related phenolic </w:t>
      </w:r>
      <w:r w:rsidR="00E67220">
        <w:t xml:space="preserve">antioxidants </w:t>
      </w:r>
      <w:r w:rsidR="0035557D">
        <w:t xml:space="preserve">may be present </w:t>
      </w:r>
      <w:r w:rsidR="005F488A">
        <w:t xml:space="preserve">although in trace amounts and </w:t>
      </w:r>
      <w:r w:rsidR="0049611C">
        <w:t xml:space="preserve">are </w:t>
      </w:r>
      <w:r w:rsidR="005F488A">
        <w:t>not considered to contribute significantly to the antioxi</w:t>
      </w:r>
      <w:r w:rsidR="000A7661">
        <w:t>dant potency</w:t>
      </w:r>
      <w:r w:rsidR="008B317B">
        <w:t xml:space="preserve"> </w:t>
      </w:r>
      <w:r w:rsidR="008B317B">
        <w:fldChar w:fldCharType="begin"/>
      </w:r>
      <w:r w:rsidR="008B317B">
        <w:instrText>ADDIN CITAVI.PLACEHOLDER f96b0311-190a-4edf-8d62-f6b189e8aa44 PFBsYWNlaG9sZGVyPg0KICA8QWRkSW5WZXJzaW9uPjUuNS4wLjE8L0FkZEluVmVyc2lvbj4NCiAgPElkPmY5NmIwMzExLTE5MGEtNGVkZi04ZDYyLWY2YjE4OWU4YWE0NDwvSWQ+DQogIDxFbnRyaWVzPg0KICAgIDxFbnRyeT4NCiAgICAgIDxJZD5lODA2Nzg5ZS1iYjc4LTQyZGUtOWViZi1lZGI5OGVhNTVlN2Q8L0lkPg0KICAgICAgPFJlZmVyZW5jZUlkPjBiNjY3YzJlLWM3YmYtNGI2NS1hMjNmLWNkYjI4Y2Q5NmFjND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U3RldmVuPC9GaXJzdE5hbWU+DQogICAgICAgICAgICA8TGFzdE5hbWU+UmljaGhlaW1lcjwvTGFzdE5hbWU+DQogICAgICAgICAgICA8TWlkZGxlTmFtZT5MLjwvTWlkZGxlTmFtZT4NCiAgICAgICAgICAgIDxTZXg+TWFsZTwvU2V4Pg0KICAgICAgICAgIDwvUGVyc29uPg0KICAgICAgICAgIDxQZXJzb24+DQogICAgICAgICAgICA8Rmlyc3ROYW1lPk1hdHRoZXc8L0ZpcnN0TmFtZT4NCiAgICAgICAgICAgIDxMYXN0TmFtZT5CZXJuYXJ0PC9MYXN0TmFtZT4NCiAgICAgICAgICAgIDxNaWRkbGVOYW1lPlcuPC9NaWRkbGVOYW1lPg0KICAgICAgICAgICAgPFNleD5NYWxlPC9TZXg+DQogICAgICAgICAgPC9QZXJzb24+DQogICAgICAgICAgPFBlcnNvbj4NCiAgICAgICAgICAgIDxGaXJzdE5hbWU+R3JlZzwvRmlyc3ROYW1lPg0KICAgICAgICAgICAgPExhc3ROYW1lPktpbmc8L0xhc3ROYW1lPg0KICAgICAgICAgICAgPE1pZGRsZU5hbWU+QS48L01pZGRsZU5hbWU+DQogICAgICAgICAgICA8U2V4Pk1hbGU8L1NleD4NCiAgICAgICAgICA8L1BlcnNvbj4NCiAgICAgICAgICA8UGVyc29uPg0KICAgICAgICAgICAgPEZpcnN0TmFtZT5NaWNoYWVsPC9GaXJzdE5hbWU+DQogICAgICAgICAgICA8TGFzdE5hbWU+S2VudDwvTGFzdE5hbWU+DQogICAgICAgICAgICA8TWlkZGxlTmFtZT5DLjwvTWlkZGxlTmFtZT4NCiAgICAgICAgICAgIDxTZXg+TWFsZTwvU2V4Pg0KICAgICAgICAgIDwvUGVyc29uPg0KICAgICAgICAgIDxQZXJzb24+DQogICAgICAgICAgICA8Rmlyc3ROYW1lPkRhdmlkPC9GaXJzdE5hbWU+DQogICAgICAgICAgICA8TGFzdE5hbWU+QmVpbGV5PC9MYXN0TmFtZT4NCiAgICAgICAgICAgIDxNaWRkbGVOYW1lPlQuPC9NaWRkbGVOYW1lPg0KICAgICAgICAgICAgPFNleD5NYWxlPC9TZXg+DQogICAgICAgICAgPC9QZXJzb24+DQogICAgICAgIDwvQXV0aG9ycz4NCiAgICAgICAgPERhdGU+MS8wNC8xOTk2PC9EYXRlPg0KICAgICAgICA8RG9pPjEwLjEwMDcvQkYwMjUyMzkyNzwvRG9pPg0KICAgICAgICA8SWQ+MGI2NjdjMmUtYzdiZi00YjY1LWEyM2YtY2RiMjhjZDk2YWM0PC9JZD4NCiAgICAgICAgPExvY2F0aW9ucz4NCiAgICAgICAgICA8TG9jYXRpb24+DQogICAgICAgICAgICA8QWRkcmVzcz5odHRwczovL2RvaS5vcmcvMTAuMTAwNy9CRjAyNTIzOTI3PC9BZGRyZXNzPg0KICAgICAgICAgICAgPExvY2F0aW9uVHlwZT5FbGVjdHJvbmljQWRkcmVzczwvTG9jYXRpb25UeXBlPg0KICAgICAgICAgIDwvTG9jYXRpb24+DQogICAgICAgICAgPExvY2F0aW9uPg0KICAgICAgICAgICAgPEFkZHJlc3M+MTAuMTAwNy9CRjAyNTIzOTI3PC9BZGRyZXNzPg0KICAgICAgICAgICAgPExvY2F0aW9uVHlwZT5FbGVjdHJvbmljQWRkcmVzczwvTG9jYXRpb25UeXBlPg0KICAgICAgICAgIDwvTG9jYXRpb24+DQogICAgICAgIDwvTG9jYXRpb25zPg0KICAgICAgICA8TnVtYmVyPjQ8L051bWJlcj4NCiAgICAgICAgPFBhZ2VSYW5nZT48IVtDREFUQVs8c3A+DQogIDxuPjUwNzwvbj4NCiAgPGluPnRydWU8L2luPg0KICA8b3M+NTA3PC9vcz4NCiAgPHBzPjUwNzwvcHM+DQo8L3NwPg0KPGVwPg0KICA8bj41MTQ8L24+DQogIDxpbj50cnVlPC9pbj4NCiAgPG9zPjUxNDwvb3M+DQogIDxwcz41MTQ8L3BzPg0KPC9lcD4NCjxvcz41MDfigJM1MTQ8L29zPl1dPjwvUGFnZVJhbmdlPg0KICAgICAgICA8RW5kUGFnZT41MTQ8L0VuZFBhZ2U+DQogICAgICAgIDxTdGFydFBhZ2U+NTA3PC9TdGFydFBhZ2U+DQogICAgICAgIDxQZXJpb2RpY2FsPg0KICAgICAgICAgIDxJc3NuPjE1NTgtOTMzMTwvSXNzbj4NCiAgICAgICAgICA8TmFtZT5Kb3VybmFsIG9mIHRoZSBBbWVyaWNhbiBPaWwgQ2hlbWlzdHPigJkgU29jaWV0eTwvTmFtZT4NCiAgICAgICAgPC9QZXJpb2RpY2FsPg0KICAgICAgICA8U2hvcnRUaXRsZT5SaWNoaGVpbWVyLCBCZXJuYXJ0IGV0IGFsLiAxOTk2IOKAkyBBbnRpb3hpZGFudCBhY3Rpdml0eSBvZiBsaXBpZC1zb2x1YmxlIHBoZW5vbGljPC9TaG9ydFRpdGxlPg0KICAgICAgICA8U291cmNlT2ZCaWJsaW9ncmFwaGljSW5mb3JtYXRpb24+UklTPC9Tb3VyY2VPZkJpYmxpb2dyYXBoaWNJbmZvcm1hdGlvbj4NCiAgICAgICAgPFRpdGxlPkFudGlveGlkYW50IGFjdGl2aXR5IG9mIGxpcGlkLXNvbHVibGUgcGhlbm9saWMgZGl0ZXJwZW5lcyBmcm9tIHJvc2VtYXJ5PC9UaXRsZT4NCiAgICAgICAgPFZvbHVtZT43MzwvVm9sdW1lPg0KICAgICAgICA8WWVhcj4xOTk2PC9ZZWFyPg0KICAgICAgPC9SZWZlcmVuY2U+DQogICAgPC9FbnRyeT4NCiAgPC9FbnRyaWVzPg0KICA8VGV4dD4oUmljaGhlaW1lciBldCBhbC4gMTk5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pY2hoZWltZXIgZXQgYWwuIDE5OTYpPC9UZXh0Pg0KICAgIDwvVGV4dFVuaXQ+DQogIDwvVGV4dFVuaXRzPg0KPC9QbGFjZWhvbGRlcj4=</w:instrText>
      </w:r>
      <w:r w:rsidR="008B317B">
        <w:fldChar w:fldCharType="separate"/>
      </w:r>
      <w:bookmarkStart w:id="27" w:name="_CTVP001f96b0311190a4edf8d62f6b189e8aa44"/>
      <w:r w:rsidR="002F200C">
        <w:t>(Richheimer et al. 1996)</w:t>
      </w:r>
      <w:bookmarkEnd w:id="27"/>
      <w:r w:rsidR="008B317B">
        <w:fldChar w:fldCharType="end"/>
      </w:r>
      <w:r w:rsidR="000A7661">
        <w:t>.</w:t>
      </w:r>
      <w:r w:rsidR="00E67220">
        <w:t xml:space="preserve"> Carnosol</w:t>
      </w:r>
      <w:r w:rsidRPr="00D03F63">
        <w:t xml:space="preserve"> and carnosic acid are the components of rosemary extract that are being evaluated in this technical assessment</w:t>
      </w:r>
      <w:r w:rsidR="00495378">
        <w:t xml:space="preserve">. </w:t>
      </w:r>
      <w:r w:rsidR="00E67220" w:rsidRPr="00E67220">
        <w:t xml:space="preserve">Details of the identities and structures of carnosol and carnosic acid are provided in Table 2.1. </w:t>
      </w:r>
    </w:p>
    <w:p w14:paraId="5EEE28AD" w14:textId="77777777" w:rsidR="00D03F63" w:rsidRPr="00D03F63" w:rsidRDefault="00D03F63" w:rsidP="00D03F63">
      <w:pPr>
        <w:tabs>
          <w:tab w:val="left" w:pos="993"/>
        </w:tabs>
      </w:pPr>
    </w:p>
    <w:p w14:paraId="719B4AF0" w14:textId="1DD9048F" w:rsidR="00D03F63" w:rsidRPr="00D03F63" w:rsidRDefault="00D03F63" w:rsidP="00D03F63">
      <w:pPr>
        <w:tabs>
          <w:tab w:val="left" w:pos="993"/>
        </w:tabs>
        <w:rPr>
          <w:color w:val="FF0000"/>
        </w:rPr>
      </w:pPr>
      <w:r w:rsidRPr="00D03F63">
        <w:t>Rosemary extract is a beige to light brown powder. It is insoluble in water but soluble in oil and can be sold as a liquid in vegetable oil or other compatible carriers. Rosemary extract for use as an antioxidant is commercialise</w:t>
      </w:r>
      <w:r w:rsidR="00E67220">
        <w:t xml:space="preserve">d by standardising the carnosol and </w:t>
      </w:r>
      <w:r w:rsidRPr="00D03F63">
        <w:t xml:space="preserve">carnosic acid content to a range from &gt;5% to 25 %w/w by </w:t>
      </w:r>
      <w:r w:rsidR="0049611C">
        <w:t>adding</w:t>
      </w:r>
      <w:r w:rsidRPr="00D03F63">
        <w:t xml:space="preserve"> appropriate food-grade excipients and carriers. These are listed by the applicant to include silicon dioxide, DATEM (</w:t>
      </w:r>
      <w:r w:rsidRPr="00D03F63">
        <w:rPr>
          <w:lang w:val="en"/>
        </w:rPr>
        <w:t>diacetyl tartaric acid ester of mono- and diglycerides)</w:t>
      </w:r>
      <w:r w:rsidRPr="00D03F63">
        <w:t>, Propylene glycol, Polysorbate 80, monoglycerides of fatty acids, sucroesters of fatty acids, lecithin, glycerol, gum arabic, modified starch, maltodextrin, vegetable oil, or medium chain triglyceride (MCT) oil.</w:t>
      </w:r>
      <w:r w:rsidR="004749DD">
        <w:rPr>
          <w:rStyle w:val="FootnoteReference"/>
        </w:rPr>
        <w:footnoteReference w:id="3"/>
      </w:r>
      <w:r w:rsidRPr="00D03F63">
        <w:t xml:space="preserve"> </w:t>
      </w:r>
    </w:p>
    <w:p w14:paraId="6D96CE13" w14:textId="77777777" w:rsidR="00D03F63" w:rsidRPr="00D03F63" w:rsidRDefault="00D03F63" w:rsidP="00D03F63">
      <w:pPr>
        <w:ind w:left="567"/>
        <w:rPr>
          <w:color w:val="FF0000"/>
        </w:rPr>
      </w:pPr>
    </w:p>
    <w:p w14:paraId="4D6C9687" w14:textId="77777777" w:rsidR="00D03F63" w:rsidRPr="00BD2527" w:rsidRDefault="00D03F63" w:rsidP="00BD2527">
      <w:pPr>
        <w:pStyle w:val="FSTableTitle"/>
        <w:spacing w:after="120"/>
        <w:rPr>
          <w:rFonts w:eastAsiaTheme="minorHAnsi"/>
          <w:i/>
          <w:lang w:bidi="ar-SA"/>
        </w:rPr>
      </w:pPr>
      <w:r w:rsidRPr="00BD2527">
        <w:rPr>
          <w:rFonts w:eastAsiaTheme="minorHAnsi"/>
          <w:i/>
          <w:lang w:bidi="ar-SA"/>
        </w:rPr>
        <w:t>Table 2.1</w:t>
      </w:r>
      <w:r w:rsidRPr="00BD2527">
        <w:rPr>
          <w:rFonts w:eastAsiaTheme="minorHAnsi"/>
          <w:i/>
          <w:lang w:bidi="ar-SA"/>
        </w:rPr>
        <w:tab/>
        <w:t xml:space="preserve">Chemical names and structures </w:t>
      </w:r>
    </w:p>
    <w:tbl>
      <w:tblPr>
        <w:tblStyle w:val="TableGrid1"/>
        <w:tblW w:w="9214" w:type="dxa"/>
        <w:tblLook w:val="04A0" w:firstRow="1" w:lastRow="0" w:firstColumn="1" w:lastColumn="0" w:noHBand="0" w:noVBand="1"/>
        <w:tblCaption w:val="Chemical names and structures"/>
        <w:tblDescription w:val="Includes detailed names, common names, INS numbers, CAS numbers, chemical formulas, molecular weights and structural formulas of carnosic acid and carnosol, the main antioxidant compounds in rosemary extract."/>
      </w:tblPr>
      <w:tblGrid>
        <w:gridCol w:w="2268"/>
        <w:gridCol w:w="3473"/>
        <w:gridCol w:w="3473"/>
      </w:tblGrid>
      <w:tr w:rsidR="00D03F63" w:rsidRPr="00D03F63" w14:paraId="0E9B7FEB" w14:textId="77777777" w:rsidTr="00EB6AB8">
        <w:trPr>
          <w:trHeight w:val="1134"/>
        </w:trPr>
        <w:tc>
          <w:tcPr>
            <w:tcW w:w="2268" w:type="dxa"/>
          </w:tcPr>
          <w:p w14:paraId="59D79AF9"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name:</w:t>
            </w:r>
          </w:p>
        </w:tc>
        <w:tc>
          <w:tcPr>
            <w:tcW w:w="3473" w:type="dxa"/>
          </w:tcPr>
          <w:p w14:paraId="3F612BCE"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2H-9,4a-(Epoxymethano) phenanthren-12-one, 1,3,4,9,10,10ahexahydro-5,6-dihydroxy-1,1-dimethyl-7(1- methylethyl), (4aR-(4aα,9α,10aβ))-</w:t>
            </w:r>
          </w:p>
        </w:tc>
        <w:tc>
          <w:tcPr>
            <w:tcW w:w="3473" w:type="dxa"/>
          </w:tcPr>
          <w:p w14:paraId="0DDA6684"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4a(2H)-Phenanthrenecarboxylic acid, 1,3,4,9,10,10ahexahydro-5,6-dihydroxy-1,1-dimethyl-7-(1-methylethyl)-, (4aR-trans)-</w:t>
            </w:r>
          </w:p>
        </w:tc>
      </w:tr>
      <w:tr w:rsidR="00D03F63" w:rsidRPr="00D03F63" w14:paraId="0C95AB63" w14:textId="77777777" w:rsidTr="00EB6AB8">
        <w:trPr>
          <w:trHeight w:val="624"/>
        </w:trPr>
        <w:tc>
          <w:tcPr>
            <w:tcW w:w="2268" w:type="dxa"/>
          </w:tcPr>
          <w:p w14:paraId="7E87030E"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Common names:</w:t>
            </w:r>
          </w:p>
        </w:tc>
        <w:tc>
          <w:tcPr>
            <w:tcW w:w="3473" w:type="dxa"/>
          </w:tcPr>
          <w:p w14:paraId="1C8D2221" w14:textId="77777777" w:rsidR="00D03F63" w:rsidRPr="00EA3A71" w:rsidRDefault="00D03F63" w:rsidP="00D03F63">
            <w:pPr>
              <w:keepNext/>
              <w:outlineLvl w:val="3"/>
              <w:rPr>
                <w:rFonts w:cs="Arial"/>
                <w:bCs/>
                <w:iCs/>
                <w:sz w:val="20"/>
                <w:szCs w:val="20"/>
                <w:lang w:bidi="ar-SA"/>
              </w:rPr>
            </w:pPr>
            <w:r w:rsidRPr="005F488A">
              <w:rPr>
                <w:rFonts w:cs="Arial"/>
                <w:bCs/>
                <w:iCs/>
                <w:sz w:val="20"/>
                <w:szCs w:val="20"/>
                <w:lang w:bidi="ar-SA"/>
              </w:rPr>
              <w:t>Carnosol</w:t>
            </w:r>
          </w:p>
        </w:tc>
        <w:tc>
          <w:tcPr>
            <w:tcW w:w="3473" w:type="dxa"/>
          </w:tcPr>
          <w:p w14:paraId="6D631125"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Carnosic acid</w:t>
            </w:r>
          </w:p>
        </w:tc>
      </w:tr>
      <w:tr w:rsidR="00D03F63" w:rsidRPr="00D03F63" w14:paraId="745E2892" w14:textId="77777777" w:rsidTr="00EB6AB8">
        <w:trPr>
          <w:trHeight w:val="624"/>
        </w:trPr>
        <w:tc>
          <w:tcPr>
            <w:tcW w:w="2268" w:type="dxa"/>
          </w:tcPr>
          <w:p w14:paraId="64DC9AA7"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Codex INS number:</w:t>
            </w:r>
          </w:p>
        </w:tc>
        <w:tc>
          <w:tcPr>
            <w:tcW w:w="3473" w:type="dxa"/>
          </w:tcPr>
          <w:p w14:paraId="7E25E084"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392</w:t>
            </w:r>
          </w:p>
        </w:tc>
        <w:tc>
          <w:tcPr>
            <w:tcW w:w="3473" w:type="dxa"/>
          </w:tcPr>
          <w:p w14:paraId="0E231EB8"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392</w:t>
            </w:r>
          </w:p>
        </w:tc>
      </w:tr>
      <w:tr w:rsidR="00D03F63" w:rsidRPr="00D03F63" w14:paraId="1CE16B32" w14:textId="77777777" w:rsidTr="00EB6AB8">
        <w:trPr>
          <w:trHeight w:val="624"/>
        </w:trPr>
        <w:tc>
          <w:tcPr>
            <w:tcW w:w="2268" w:type="dxa"/>
          </w:tcPr>
          <w:p w14:paraId="5B475DED"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CAS registry number:</w:t>
            </w:r>
          </w:p>
        </w:tc>
        <w:tc>
          <w:tcPr>
            <w:tcW w:w="3473" w:type="dxa"/>
          </w:tcPr>
          <w:p w14:paraId="5BEB34B9"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5957-80-2</w:t>
            </w:r>
          </w:p>
        </w:tc>
        <w:tc>
          <w:tcPr>
            <w:tcW w:w="3473" w:type="dxa"/>
          </w:tcPr>
          <w:p w14:paraId="69527F10"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3650-09-7</w:t>
            </w:r>
          </w:p>
        </w:tc>
      </w:tr>
      <w:tr w:rsidR="00D03F63" w:rsidRPr="00D03F63" w14:paraId="2706F21B" w14:textId="77777777" w:rsidTr="00EB6AB8">
        <w:trPr>
          <w:trHeight w:val="624"/>
        </w:trPr>
        <w:tc>
          <w:tcPr>
            <w:tcW w:w="2268" w:type="dxa"/>
          </w:tcPr>
          <w:p w14:paraId="0EDA239A"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formula:</w:t>
            </w:r>
          </w:p>
        </w:tc>
        <w:tc>
          <w:tcPr>
            <w:tcW w:w="3473" w:type="dxa"/>
          </w:tcPr>
          <w:p w14:paraId="61947487"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w:t>
            </w:r>
            <w:r w:rsidRPr="00D03F63">
              <w:rPr>
                <w:rFonts w:cs="Arial"/>
                <w:bCs/>
                <w:iCs/>
                <w:sz w:val="20"/>
                <w:szCs w:val="20"/>
                <w:vertAlign w:val="subscript"/>
                <w:lang w:bidi="ar-SA"/>
              </w:rPr>
              <w:t>20</w:t>
            </w:r>
            <w:r w:rsidRPr="00D03F63">
              <w:rPr>
                <w:rFonts w:cs="Arial"/>
                <w:bCs/>
                <w:iCs/>
                <w:sz w:val="20"/>
                <w:szCs w:val="20"/>
                <w:lang w:bidi="ar-SA"/>
              </w:rPr>
              <w:t>H</w:t>
            </w:r>
            <w:r w:rsidRPr="00D03F63">
              <w:rPr>
                <w:rFonts w:cs="Arial"/>
                <w:bCs/>
                <w:iCs/>
                <w:sz w:val="20"/>
                <w:szCs w:val="20"/>
                <w:vertAlign w:val="subscript"/>
                <w:lang w:bidi="ar-SA"/>
              </w:rPr>
              <w:t>26</w:t>
            </w:r>
            <w:r w:rsidRPr="00D03F63">
              <w:rPr>
                <w:rFonts w:cs="Arial"/>
                <w:bCs/>
                <w:iCs/>
                <w:sz w:val="20"/>
                <w:szCs w:val="20"/>
                <w:lang w:bidi="ar-SA"/>
              </w:rPr>
              <w:t>0</w:t>
            </w:r>
            <w:r w:rsidRPr="00D03F63">
              <w:rPr>
                <w:rFonts w:cs="Arial"/>
                <w:bCs/>
                <w:iCs/>
                <w:sz w:val="20"/>
                <w:szCs w:val="20"/>
                <w:vertAlign w:val="subscript"/>
                <w:lang w:bidi="ar-SA"/>
              </w:rPr>
              <w:t>4</w:t>
            </w:r>
          </w:p>
        </w:tc>
        <w:tc>
          <w:tcPr>
            <w:tcW w:w="3473" w:type="dxa"/>
          </w:tcPr>
          <w:p w14:paraId="174757FB"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C</w:t>
            </w:r>
            <w:r w:rsidRPr="00D03F63">
              <w:rPr>
                <w:rFonts w:cs="Arial"/>
                <w:bCs/>
                <w:iCs/>
                <w:sz w:val="20"/>
                <w:szCs w:val="20"/>
                <w:vertAlign w:val="subscript"/>
                <w:lang w:bidi="ar-SA"/>
              </w:rPr>
              <w:t>20</w:t>
            </w:r>
            <w:r w:rsidRPr="00D03F63">
              <w:rPr>
                <w:rFonts w:cs="Arial"/>
                <w:bCs/>
                <w:iCs/>
                <w:sz w:val="20"/>
                <w:szCs w:val="20"/>
                <w:lang w:bidi="ar-SA"/>
              </w:rPr>
              <w:t>H</w:t>
            </w:r>
            <w:r w:rsidRPr="00D03F63">
              <w:rPr>
                <w:rFonts w:cs="Arial"/>
                <w:bCs/>
                <w:iCs/>
                <w:sz w:val="20"/>
                <w:szCs w:val="20"/>
                <w:vertAlign w:val="subscript"/>
                <w:lang w:bidi="ar-SA"/>
              </w:rPr>
              <w:t>28</w:t>
            </w:r>
            <w:r w:rsidRPr="00D03F63">
              <w:rPr>
                <w:rFonts w:cs="Arial"/>
                <w:bCs/>
                <w:iCs/>
                <w:sz w:val="20"/>
                <w:szCs w:val="20"/>
                <w:lang w:bidi="ar-SA"/>
              </w:rPr>
              <w:t>0</w:t>
            </w:r>
            <w:r w:rsidRPr="00D03F63">
              <w:rPr>
                <w:rFonts w:cs="Arial"/>
                <w:bCs/>
                <w:iCs/>
                <w:sz w:val="20"/>
                <w:szCs w:val="20"/>
                <w:vertAlign w:val="subscript"/>
                <w:lang w:bidi="ar-SA"/>
              </w:rPr>
              <w:t>4</w:t>
            </w:r>
          </w:p>
        </w:tc>
      </w:tr>
      <w:tr w:rsidR="00D03F63" w:rsidRPr="00D03F63" w14:paraId="21740C68" w14:textId="77777777" w:rsidTr="00EB6AB8">
        <w:trPr>
          <w:trHeight w:val="624"/>
        </w:trPr>
        <w:tc>
          <w:tcPr>
            <w:tcW w:w="2268" w:type="dxa"/>
          </w:tcPr>
          <w:p w14:paraId="5082B8F2"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Molecular weight:</w:t>
            </w:r>
          </w:p>
        </w:tc>
        <w:tc>
          <w:tcPr>
            <w:tcW w:w="3473" w:type="dxa"/>
          </w:tcPr>
          <w:p w14:paraId="41FDEC2A"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330.424 g/mol</w:t>
            </w:r>
          </w:p>
        </w:tc>
        <w:tc>
          <w:tcPr>
            <w:tcW w:w="3473" w:type="dxa"/>
          </w:tcPr>
          <w:p w14:paraId="4559CF57" w14:textId="77777777" w:rsidR="00D03F63" w:rsidRPr="00D03F63" w:rsidRDefault="00D03F63" w:rsidP="00D03F63">
            <w:pPr>
              <w:keepNext/>
              <w:outlineLvl w:val="3"/>
              <w:rPr>
                <w:rFonts w:cs="Arial"/>
                <w:bCs/>
                <w:iCs/>
                <w:sz w:val="20"/>
                <w:szCs w:val="20"/>
                <w:lang w:bidi="ar-SA"/>
              </w:rPr>
            </w:pPr>
            <w:r w:rsidRPr="00D03F63">
              <w:rPr>
                <w:rFonts w:cs="Arial"/>
                <w:bCs/>
                <w:iCs/>
                <w:sz w:val="20"/>
                <w:szCs w:val="20"/>
                <w:lang w:bidi="ar-SA"/>
              </w:rPr>
              <w:t>332.44 g/mol</w:t>
            </w:r>
          </w:p>
        </w:tc>
      </w:tr>
      <w:tr w:rsidR="00D03F63" w:rsidRPr="00D03F63" w14:paraId="6434A431" w14:textId="77777777" w:rsidTr="00EB6AB8">
        <w:trPr>
          <w:trHeight w:val="1134"/>
        </w:trPr>
        <w:tc>
          <w:tcPr>
            <w:tcW w:w="2268" w:type="dxa"/>
          </w:tcPr>
          <w:p w14:paraId="7C0CB66A" w14:textId="77777777" w:rsidR="00D03F63" w:rsidRPr="00D03F63" w:rsidRDefault="00D03F63" w:rsidP="00D03F63">
            <w:pPr>
              <w:keepNext/>
              <w:outlineLvl w:val="3"/>
              <w:rPr>
                <w:rFonts w:cs="Arial"/>
                <w:b/>
                <w:bCs/>
                <w:iCs/>
                <w:sz w:val="20"/>
                <w:szCs w:val="20"/>
                <w:lang w:bidi="ar-SA"/>
              </w:rPr>
            </w:pPr>
            <w:r w:rsidRPr="00D03F63">
              <w:rPr>
                <w:rFonts w:cs="Arial"/>
                <w:b/>
                <w:bCs/>
                <w:iCs/>
                <w:sz w:val="20"/>
                <w:szCs w:val="20"/>
                <w:lang w:bidi="ar-SA"/>
              </w:rPr>
              <w:t>Chemical structure:</w:t>
            </w:r>
          </w:p>
        </w:tc>
        <w:tc>
          <w:tcPr>
            <w:tcW w:w="3473" w:type="dxa"/>
          </w:tcPr>
          <w:p w14:paraId="0EBEE909" w14:textId="77777777" w:rsidR="00D03F63" w:rsidRPr="00D03F63" w:rsidRDefault="00D03F63" w:rsidP="00D03F63">
            <w:pPr>
              <w:keepNext/>
              <w:outlineLvl w:val="3"/>
              <w:rPr>
                <w:rFonts w:cs="Arial"/>
                <w:bCs/>
                <w:iCs/>
                <w:sz w:val="20"/>
                <w:szCs w:val="20"/>
                <w:lang w:bidi="ar-SA"/>
              </w:rPr>
            </w:pPr>
            <w:r w:rsidRPr="00D03F63">
              <w:rPr>
                <w:rFonts w:cs="Arial"/>
                <w:bCs/>
                <w:iCs/>
                <w:noProof/>
                <w:sz w:val="20"/>
                <w:szCs w:val="20"/>
                <w:lang w:eastAsia="en-GB" w:bidi="ar-SA"/>
              </w:rPr>
              <w:drawing>
                <wp:inline distT="0" distB="0" distL="0" distR="0" wp14:anchorId="28E2D136" wp14:editId="2080DB29">
                  <wp:extent cx="1262380" cy="965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2380" cy="965200"/>
                          </a:xfrm>
                          <a:prstGeom prst="rect">
                            <a:avLst/>
                          </a:prstGeom>
                          <a:noFill/>
                          <a:ln>
                            <a:noFill/>
                          </a:ln>
                        </pic:spPr>
                      </pic:pic>
                    </a:graphicData>
                  </a:graphic>
                </wp:inline>
              </w:drawing>
            </w:r>
          </w:p>
        </w:tc>
        <w:tc>
          <w:tcPr>
            <w:tcW w:w="3473" w:type="dxa"/>
          </w:tcPr>
          <w:p w14:paraId="4CFEC0BB" w14:textId="77777777" w:rsidR="00D03F63" w:rsidRPr="00D03F63" w:rsidRDefault="00D03F63" w:rsidP="00D03F63">
            <w:pPr>
              <w:keepNext/>
              <w:outlineLvl w:val="3"/>
              <w:rPr>
                <w:rFonts w:cs="Arial"/>
                <w:bCs/>
                <w:iCs/>
                <w:sz w:val="20"/>
                <w:szCs w:val="20"/>
                <w:lang w:bidi="ar-SA"/>
              </w:rPr>
            </w:pPr>
            <w:r w:rsidRPr="00D03F63">
              <w:rPr>
                <w:rFonts w:cs="Arial"/>
                <w:bCs/>
                <w:iCs/>
                <w:noProof/>
                <w:sz w:val="20"/>
                <w:szCs w:val="20"/>
                <w:lang w:eastAsia="en-GB" w:bidi="ar-SA"/>
              </w:rPr>
              <w:drawing>
                <wp:inline distT="0" distB="0" distL="0" distR="0" wp14:anchorId="0A6485DF" wp14:editId="4D70648C">
                  <wp:extent cx="1211580" cy="10306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1580" cy="1030605"/>
                          </a:xfrm>
                          <a:prstGeom prst="rect">
                            <a:avLst/>
                          </a:prstGeom>
                          <a:noFill/>
                          <a:ln>
                            <a:noFill/>
                          </a:ln>
                        </pic:spPr>
                      </pic:pic>
                    </a:graphicData>
                  </a:graphic>
                </wp:inline>
              </w:drawing>
            </w:r>
          </w:p>
        </w:tc>
      </w:tr>
    </w:tbl>
    <w:p w14:paraId="528BD8F8" w14:textId="77CECB65" w:rsidR="00D03F63" w:rsidRPr="00D03F63" w:rsidRDefault="00D03F63" w:rsidP="005137FA">
      <w:pPr>
        <w:pStyle w:val="Heading3"/>
      </w:pPr>
      <w:bookmarkStart w:id="28" w:name="_Toc516056522"/>
      <w:bookmarkStart w:id="29" w:name="_Toc517709868"/>
      <w:bookmarkStart w:id="30" w:name="_Toc518388268"/>
      <w:bookmarkStart w:id="31" w:name="_Toc526498357"/>
      <w:r w:rsidRPr="00D03F63">
        <w:t>2.1.2</w:t>
      </w:r>
      <w:r w:rsidRPr="00D03F63">
        <w:tab/>
        <w:t>Technological purpose</w:t>
      </w:r>
      <w:bookmarkEnd w:id="28"/>
      <w:bookmarkEnd w:id="29"/>
      <w:bookmarkEnd w:id="30"/>
      <w:bookmarkEnd w:id="31"/>
    </w:p>
    <w:p w14:paraId="5A0F94E2" w14:textId="4B1B2DBB" w:rsidR="00D03F63" w:rsidRPr="00D03F63" w:rsidRDefault="00D03F63" w:rsidP="00D03F63">
      <w:pPr>
        <w:tabs>
          <w:tab w:val="left" w:pos="993"/>
        </w:tabs>
      </w:pPr>
      <w:r w:rsidRPr="00D03F63">
        <w:t xml:space="preserve">The applicant is seeking approval for use of rosemary extract as an antioxidant which means </w:t>
      </w:r>
      <w:r w:rsidRPr="00D03F63">
        <w:lastRenderedPageBreak/>
        <w:t xml:space="preserve">it retards or prevents the oxidative deterioration of a food, as defined in Schedule 14 of the Code. Specifically, antioxidants inhibit oxidation of fats/oils (lipid peroxidation) and proteins. Inhibition of these chemical reactions preserves flavours and organoleptic properties, prevents rancidity, and thus extends shelf life </w:t>
      </w:r>
      <w:r w:rsidRPr="00D03F63">
        <w:fldChar w:fldCharType="begin"/>
      </w:r>
      <w:r w:rsidRPr="00D03F63">
        <w:instrText>ADDIN CITAVI.PLACEHOLDER 777c1dae-1cc9-483a-bf92-e3210fd0dc7f PFBsYWNlaG9sZGVyPg0KICA8QWRkSW5WZXJzaW9uPjUuNS4wLjE8L0FkZEluVmVyc2lvbj4NCiAgPElkPjc3N2MxZGFlLTFjYzktNDgzYS1iZjkyLWUzMjEwZmQwZGM3ZjwvSWQ+DQogIDxFbnRyaWVzPg0KICAgIDxFbnRyeT4NCiAgICAgIDxJZD5kZWEzZWE1Ni02NjIyLTQ3M2UtODNjNS1hMGMzZTlhYzAwYWU8L0lkPg0KICAgICAgPFJlZmVyZW5jZUlkPjgzNGEzMWYxLTY5MGItNDNkYi05MWE4LTI2YzVjNTEyZmRm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OhcmNpbzwvRmlyc3ROYW1lPg0KICAgICAgICAgICAgPExhc3ROYW1lPkNhcm9jaG88L0xhc3ROYW1lPg0KICAgICAgICAgIDwvUGVyc29uPg0KICAgICAgICAgIDxQZXJzb24+DQogICAgICAgICAgICA8Rmlyc3ROYW1lPlBhdHJpY2lhPC9GaXJzdE5hbWU+DQogICAgICAgICAgICA8TGFzdE5hbWU+TW9yYWxlczwvTGFzdE5hbWU+DQogICAgICAgICAgICA8U2V4PkZlbWFsZTwvU2V4Pg0KICAgICAgICAgIDwvUGVyc29uPg0KICAgICAgICAgIDxQZXJzb24+DQogICAgICAgICAgICA8Rmlyc3ROYW1lPklzYWJlbDwvRmlyc3ROYW1lPg0KICAgICAgICAgICAgPExhc3ROYW1lPkZlcnJlaXJhPC9MYXN0TmFtZT4NCiAgICAgICAgICAgIDxNaWRkbGVOYW1lPkMuRi5SLjwvTWlkZGxlTmFtZT4NCiAgICAgICAgICAgIDxTZXg+RmVtYWxlPC9TZXg+DQogICAgICAgICAgPC9QZXJzb24+DQogICAgICAgIDwvQXV0aG9ycz4NCiAgICAgICAgPERhdGU+MS8wMS8yMDE4PC9EYXRlPg0KICAgICAgICA8RG9pPjEwLjEwMTYvai50aWZzLjIwMTcuMTEuMDA4PC9Eb2k+DQogICAgICAgIDxJZD44MzRhMzFmMS02OTBiLTQzZGItOTFhOC0yNmM1YzUxMmZkZjE8L0lkPg0KICAgICAgICA8TG9jYXRpb25zPg0KICAgICAgICAgIDxMb2NhdGlvbj4NCiAgICAgICAgICAgIDxBZGRyZXNzPmh0dHBzOi8vZG9pLm9yZy8xMC4xMDE2L2oudGlmcy4yMDE3LjExLjAwODwvQWRkcmVzcz4NCiAgICAgICAgICAgIDxMb2NhdGlvblR5cGU+RWxlY3Ryb25pY0FkZHJlc3M8L0xvY2F0aW9uVHlwZT4NCiAgICAgICAgICA8L0xvY2F0aW9uPg0KICAgICAgICAgIDxMb2NhdGlvbj4NCiAgICAgICAgICAgIDxBZGRyZXNzPmh0dHA6Ly93d3cuc2NpZW5jZWRpcmVjdC5jb20vc2NpZW5jZS9hcnRpY2xlL3BpaS9TMDkyNDIyNDQxNzMwNjU2ODwvQWRkcmVzcz4NCiAgICAgICAgICAgIDxMb2NhdGlvblR5cGU+RWxlY3Ryb25pY0FkZHJlc3M8L0xvY2F0aW9uVHlwZT4NCiAgICAgICAgICA8L0xvY2F0aW9uPg0KICAgICAgICA8L0xvY2F0aW9ucz4NCiAgICAgICAgPFBhZ2VSYW5nZT48IVtDREFUQVs8c3A+DQogIDxuPjEwNzwvbj4NCiAgPGluPnRydWU8L2luPg0KICA8b3M+MTA3PC9vcz4NCiAgPHBzPjEwNzwvcHM+DQo8L3NwPg0KPGVwPg0KICA8bj4xMjA8L24+DQogIDxpbj50cnVlPC9pbj4NCiAgPG9zPjEyMDwvb3M+DQogIDxwcz4xMjA8L3BzPg0KPC9lcD4NCjxvcz4xMDctMTIwPC9vcz5dXT48L1BhZ2VSYW5nZT4NCiAgICAgICAgPEVuZFBhZ2U+MTIwPC9FbmRQYWdlPg0KICAgICAgICA8U3RhcnRQYWdlPjEwNzwvU3RhcnRQYWdlPg0KICAgICAgICA8UGVyaW9kaWNhbD4NCiAgICAgICAgICA8SXNzbj4wOTI0LTIyNDQ8L0lzc24+DQogICAgICAgICAgPE5hbWU+VHJlbmRzIGluIEZvb2QgU2NpZW5jZSAmYW1wOyBUZWNobm9sb2d5PC9OYW1lPg0KICAgICAgICA8L1BlcmlvZGljYWw+DQogICAgICAgIDxTZXF1ZW5jZU51bWJlcj43PC9TZXF1ZW5jZU51bWJlcj4NCiAgICAgICAgPFNob3J0VGl0bGU+Q2Fyb2NobywgTW9yYWxlcyBldCBhbC4gMjAxOCDigJMgQW50aW94aWRhbnRzPC9TaG9ydFRpdGxlPg0KICAgICAgICA8U291cmNlT2ZCaWJsaW9ncmFwaGljSW5mb3JtYXRpb24+UklTPC9Tb3VyY2VPZkJpYmxpb2dyYXBoaWNJbmZvcm1hdGlvbj4NCiAgICAgICAgPFN1YnRpdGxlPlJldmlld2luZyB0aGUgY2hlbWlzdHJ5LCBmb29kIGFwcGxpY2F0aW9ucywgbGVnaXNsYXRpb24gYW5kIHJvbGUgYXMgcHJlc2VydmF0aXZlczwvU3VidGl0bGU+DQogICAgICAgIDxUaXRsZT5BbnRpb3hpZGFudHM8L1RpdGxlPg0KICAgICAgICA8Vm9sdW1lPjcxPC9Wb2x1bWU+DQogICAgICAgIDxZZWFyPjIwMTg8L1llYXI+DQogICAgICA8L1JlZmVyZW5jZT4NCiAgICA8L0VudHJ5Pg0KICA8L0VudHJpZXM+DQogIDxUZXh0PihDYXJvY2hvIGV0IGFsL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yb2NobyBldCBhbC4gMjAxOCk8L1RleHQ+DQogICAgPC9UZXh0VW5pdD4NCiAgPC9UZXh0VW5pdHM+DQo8L1BsYWNlaG9sZGVyPg==</w:instrText>
      </w:r>
      <w:r w:rsidRPr="00D03F63">
        <w:fldChar w:fldCharType="separate"/>
      </w:r>
      <w:bookmarkStart w:id="32" w:name="_CTVP001777c1dae1cc9483abf92e3210fd0dc7f"/>
      <w:r w:rsidR="002F200C">
        <w:t>(Carocho et al. 2018)</w:t>
      </w:r>
      <w:bookmarkEnd w:id="32"/>
      <w:r w:rsidRPr="00D03F63">
        <w:fldChar w:fldCharType="end"/>
      </w:r>
      <w:r w:rsidRPr="00D03F63">
        <w:t xml:space="preserve">. </w:t>
      </w:r>
    </w:p>
    <w:p w14:paraId="22CF866F" w14:textId="77777777" w:rsidR="00D03F63" w:rsidRPr="00D03F63" w:rsidRDefault="00D03F63" w:rsidP="00D03F63">
      <w:pPr>
        <w:tabs>
          <w:tab w:val="left" w:pos="993"/>
        </w:tabs>
      </w:pPr>
    </w:p>
    <w:p w14:paraId="0E650C1F" w14:textId="3A49A467" w:rsidR="00D03F63" w:rsidRDefault="00D03F63" w:rsidP="00D03F63">
      <w:pPr>
        <w:tabs>
          <w:tab w:val="left" w:pos="993"/>
        </w:tabs>
        <w:rPr>
          <w:rFonts w:cs="Times"/>
          <w:color w:val="221E1F"/>
        </w:rPr>
      </w:pPr>
      <w:r w:rsidRPr="00D03F63">
        <w:t>The flavouring and aroma properties of rosemary extract are strong and, unless intentionally removed, would be present in preparations of rosemary extract to be used as an antioxidant. The use of rosemary extract as an antioxidant can be limited if the flavouring properties are not reduced through processing of the extract</w:t>
      </w:r>
      <w:r w:rsidRPr="00D03F63">
        <w:rPr>
          <w:rFonts w:cs="Times"/>
          <w:color w:val="221E1F"/>
        </w:rPr>
        <w:t xml:space="preserve">. Consequently, the processing of rosemary extract is optimised depending on whether the extract is intended to function as a flavour, an antioxidant, or both </w:t>
      </w:r>
      <w:r w:rsidR="00805336">
        <w:rPr>
          <w:rFonts w:cs="Times"/>
          <w:color w:val="221E1F"/>
        </w:rPr>
        <w:fldChar w:fldCharType="begin"/>
      </w:r>
      <w:r w:rsidR="00522CDD">
        <w:rPr>
          <w:rFonts w:cs="Times"/>
          <w:color w:val="221E1F"/>
        </w:rPr>
        <w:instrText>ADDIN CITAVI.PLACEHOLDER cc382078-0dc4-48cd-9a65-e696ca51f3e7 PFBsYWNlaG9sZGVyPg0KICA8QWRkSW5WZXJzaW9uPjUuNS4wLjE8L0FkZEluVmVyc2lvbj4NCiAgPElkPmNjMzgyMDc4LTBkYzQtNDhjZC05YTY1LWU2OTZjYTUxZjNlNzwvSWQ+DQogIDxFbnRyaWVzPg0KICAgIDxFbnRyeT4NCiAgICAgIDxJZD5iYjIzYTkyMS00NDIzLTRiYjUtYTk2ZS0yOTMwN2ZkNTI3YTg8L0lkPg0KICAgICAgPFJlZmVyZW5jZUlkPjJmZjMzMjUwLThhMTktNGUwOS05MDdjLWJlMDZlNDcxOTk2ZTwvUmVmZXJlbmNlSWQ+DQogICAgICA8UmFuZ2U+DQogICAgICAgIDxTdGFydD4wPC9TdGFydD4NCiAgICAgICAgPExlbmd0aD4yNjwvTGVuZ3RoPg0KICAgICAgPC9SYW5nZT4NCiAgICAgIDxSZWZlcmVuY2U+DQogICAgICAgIDxSZWZlcmVuY2VUeXBlSWQ+Q29udHJpYnV0aW9uPC9SZWZlcmVuY2VUeXBlSWQ+DQogICAgICAgIDxBdXRob3JzPg0KICAgICAgICAgIDxQZXJzb24+DQogICAgICAgICAgICA8Rmlyc3ROYW1lPkRvbmFsZDwvRmlyc3ROYW1lPg0KICAgICAgICAgICAgPExhc3ROYW1lPkJlcmRhaGw8L0xhc3ROYW1lPg0KICAgICAgICAgICAgPE1pZGRsZU5hbWU+Ui48L01pZGRsZU5hbWU+DQogICAgICAgICAgICA8U2V4Pk1hbGU8L1NleD4NCiAgICAgICAgICA8L1BlcnNvbj4NCiAgICAgICAgICA8UGVyc29uPg0KICAgICAgICAgICAgPEZpcnN0TmFtZT5KaWxsPC9GaXJzdE5hbWU+DQogICAgICAgICAgICA8TGFzdE5hbWU+TWNLZWFndWU8L0xhc3ROYW1lPg0KICAgICAgICAgICAgPFNleD5GZW1hbGU8L1NleD4NCiAgICAgICAgICA8L1BlcnNvbj4NCiAgICAgICAgPC9BdXRob3JzPg0KICAgICAgICA8RG9pPjEwLjEwMTYvQjk3OC0xLTc4MjQyLTA4OS03LjAwMDA4LTc8L0RvaT4NCiAgICAgICAgPElkPjJmZjMzMjUwLThhMTktNGUwOS05MDdjLWJlMDZlNDcxOTk2ZTwvSWQ+DQogICAgICAgIDxMb2NhdGlvbnM+DQogICAgICAgICAgPExvY2F0aW9uPg0KICAgICAgICAgICAgPEFkZHJlc3M+aHR0cHM6Ly9kb2kub3JnLzEwLjEwMTYvQjk3OC0xLTc4MjQyLTA4OS03LjAwMDA4LTc8L0FkZHJlc3M+DQogICAgICAgICAgICA8TG9jYXRpb25UeXBlPkVsZWN0cm9uaWNBZGRyZXNzPC9Mb2NhdGlvblR5cGU+DQogICAgICAgICAgPC9Mb2NhdGlvbj4NCiAgICAgICAgICA8TG9jYXRpb24+DQogICAgICAgICAgICA8QWRkcmVzcz5odHRwczovL3d3dy5zY2llbmNlZGlyZWN0LmNvbS9zY2llbmNlL2FydGljbGUvcGlpL0I5NzgxNzgyNDIwODk3MDAwMDg3PC9BZGRyZXNzPg0KICAgICAgICAgICAgPExvY2F0aW9uVHlwZT5FbGVjdHJvbmljQWRkcmVzczwvTG9jYXRpb25UeXBlPg0KICAgICAgICAgIDwvTG9jYXRpb24+DQogICAgICAgIDwvTG9jYXRpb25zPg0KICAgICAgICA8T25saW5lQWRkcmVzcz5odHRwczovL3d3dy5zY2llbmNlZGlyZWN0LmNvbS9zY2llbmNlL2FydGljbGUvcGlpL0I5NzgxNzgyNDIwODk3MDAwMDg3PC9PbmxpbmVBZGRyZXNzPg0KICAgICAgICA8UGFnZVJhbmdlPjwhW0NEQVRBWzxzcD4NCiAgPG4+MTc3PC9uPg0KICA8aW4+dHJ1ZTwvaW4+DQogIDxvcz4xNzc8L29zPg0KICA8cHM+MTc3PC9wcz4NCjwvc3A+DQo8ZXA+DQogIDxuPjIxNzwvbj4NCiAgPGluPnRydWU8L2luPg0KICA8b3M+MjE3PC9vcz4NCiAgPHBzPjIxNzwvcHM+DQo8L2VwPg0KPG9zPjE3Ny0yMTc8L29zPl1dPjwvUGFnZVJhbmdlPg0KICAgICAgICA8RW5kUGFnZT4yMTc8L0VuZFBhZ2U+DQogICAgICAgIDxTdGFydFBhZ2U+MTc3PC9TdGFydFBhZ2U+DQogICAgICAgIDxQYXJlbnRSZWZlcmVuY2U+PFJlZmVyZW5jZT48UmVmZXJlbmNlVHlwZUlkPkJvb2tFZGl0ZWQ8L1JlZmVyZW5jZVR5cGVJZD48RWRpdG9ycz48UGVyc29uPjxMYXN0TmFtZT5Sb3NlbWFyeSBhbmQgc2FnZSBleHRyYWN0cyBhcyBhbnRpb3hpZGFudHMgZm9yIGZvb2QgcHJlc2VydmF0aW9uIEEyLVNoYWhpZGksIEZlcmVpZG9vbjwvTGFzdE5hbWU+PC9QZXJzb24+PC9FZGl0b3JzPjxJZD45NTQ0MjY4MC1hNThhLTRiOTgtOTc2MC1iMGRlMmZlYThjNDk8L0lkPjxJc2JuPjk3OC0xLTc4MjQyLTA4OS03PC9Jc2JuPjxQdWJsaXNoZXJzPjxQdWJsaXNoZXI+PE5hbWU+V29vZGhlYWQgUHVibGlzaGluZzwvTmFtZT48L1B1Ymxpc2hlcj48L1B1Ymxpc2hlcnM+PFNlcXVlbmNlTnVtYmVyPjEzPC9TZXF1ZW5jZU51bWJlcj48U2hvcnRUaXRsZT5Sb3NlbWFyeSBhbmQgc2FnZSBleHRyYWN0cyBhcyBhbnRpb3hpZGFudHMgZm9yIGZvb2QgcHJlc2VydmF0aW9uIEEyLVNoYWhpZGksIEZlcmVpZG9vbiAoRWQuKSAyMDE1IOKAkyBIYW5kYm9vayBvZiBBbnRpb3hpZGFudHMgZm9yIEZvb2Q8L1Nob3J0VGl0bGU+PFNvdXJjZU9mQmlibGlvZ3JhcGhpY0luZm9ybWF0aW9uPlJJUzwvU291cmNlT2ZCaWJsaW9ncmFwaGljSW5mb3JtYXRpb24+PFRpdGxlPkhhbmRib29rIG9mIEFudGlveGlkYW50cyBmb3IgRm9vZCBQcmVzZXJ2YXRpb24gOiBXb29kaGVhZCBQdWJsaXNoaW5nIFNlcmllcyBpbiBGb29kIFNjaWVuY2UsIFRlY2hub2xvZ3kgYW5kIE51dHJpdGlvbjwvVGl0bGU+PFllYXI+MjAxNTwvWWVhcj48L1JlZmVyZW5jZT48L1BhcmVudFJlZmVyZW5jZT4NCiAgICAgICAgPFNlcXVlbmNlTnVtYmVyPjE0PC9TZXF1ZW5jZU51bWJlcj4NCiAgICAgICAgPFNob3J0VGl0bGU+QmVyZGFobCwgTWNLZWFndWUgMjAxNSDigJMgODwvU2hvcnRUaXRsZT4NCiAgICAgICAgPFNvdXJjZU9mQmlibGlvZ3JhcGhpY0luZm9ybWF0aW9uPlJJUzwvU291cmNlT2ZCaWJsaW9ncmFwaGljSW5mb3JtYXRpb24+DQogICAgICAgIDxUaXRsZT44IC0gUm9zZW1hcnkgYW5kIHNhZ2UgZXh0cmFjdHMgYXMgYW50aW94aWRhbnRzIGZvciBmb29kIHByZXNlcnZhdGlvbiBBMiAtIFNoYWhpZGksIEZlcmVpZG9vbjwvVGl0bGU+DQogICAgICA8L1JlZmVyZW5jZT4NCiAgICA8L0VudHJ5Pg0KICAgIDxFbnRyeT4NCiAgICAgIDxJZD42ZjQwYmVlZS04YjRiLTQzODgtODJkYy0zOTE1NzBlNmJhZTM8L0lkPg0KICAgICAgPFJlZmVyZW5jZUlkPmU2NGY3ZGE1LTdmZWQtNDI3NS1hMDUwLTIzYzI3MjAzMDMxNjwvUmVmZXJlbmNlSWQ+DQogICAgICA8UmFuZ2U+DQogICAgICAgIDxTdGFydD4yNjwvU3RhcnQ+DQogICAgICAgIDxMZW5ndGg+MTk8L0xlbmd0aD4NCiAgICAgIDwvUmFuZ2U+DQogICAgICA8UmVmZXJlbmNlPg0KICAgICAgICA8UmVmZXJlbmNlVHlwZUlkPkpvdXJuYWxBcnRpY2xlPC9SZWZlcmVuY2VUeXBlSWQ+DQogICAgICAgIDxBdXRob3JzPg0KICAgICAgICAgIDxQZXJzb24+DQogICAgICAgICAgICA8Rmlyc3ROYW1lPlBhdWw8L0ZpcnN0TmFtZT4NCiAgICAgICAgICAgIDxMYXN0TmFtZT5SYWFkdDwvTGFzdE5hbWU+DQogICAgICAgICAgICA8TWlkZGxlTmFtZT5kZTwvTWlkZGxlTmFtZT4NCiAgICAgICAgICAgIDxTZXg+TWFsZTwvU2V4Pg0KICAgICAgICAgIDwvUGVyc29uPg0KICAgICAgICAgIDxQZXJzb24+DQogICAgICAgICAgICA8Rmlyc3ROYW1lPlNhYnJpbmE8L0ZpcnN0TmFtZT4NCiAgICAgICAgICAgIDxMYXN0TmFtZT5XaXJ0ejwvTGFzdE5hbWU+DQogICAgICAgICAgICA8U2V4PkZlbWFsZTwvU2V4Pg0KICAgICAgICAgIDwvUGVyc29uPg0KICAgICAgICAgIDxQZXJzb24+DQogICAgICAgICAgICA8Rmlyc3ROYW1lPkVsbGVuPC9GaXJzdE5hbWU+DQogICAgICAgICAgICA8TGFzdE5hbWU+Vm9zPC9MYXN0TmFtZT4NCiAgICAgICAgICAgIDxTZXg+RmVtYWxlPC9TZXg+DQogICAgICAgICAgPC9QZXJzb24+DQogICAgICAgICAgPFBlcnNvbj4NCiAgICAgICAgICAgIDxGaXJzdE5hbWU+SGFuczwvRmlyc3ROYW1lPg0KICAgICAgICAgICAgPExhc3ROYW1lPlZlcmhhZ2VuPC9MYXN0TmFtZT4NCiAgICAgICAgICAgIDxTZXg+TWFsZTwvU2V4Pg0KICAgICAgICAgIDwvUGVyc29uPg0KICAgICAgICA8L0F1dGhvcnM+DQogICAgICAgIDxJZD5lNjRmN2RhNS03ZmVkLTQyNzUtYTA1MC0yM2MyNzIwMzAzMTY8L0lkPg0KICAgICAgICA8TnVtYmVyPjM8L051bWJlcj4NCiAgICAgICAgPFBhZ2VSYW5nZT48IVtDREFUQVs8c3A+DQogIDxuPjEyNjwvbj4NCiAgPGluPnRydWU8L2luPg0KICA8b3M+MTI2PC9vcz4NCiAgPHBzPjEyNjwvcHM+DQo8L3NwPg0KPGVwPg0KICA8bj4xMzc8L24+DQogIDxpbj50cnVlPC9pbj4NCiAgPG9zPjEzNzwvb3M+DQogIDxwcz4xMzc8L3BzPg0KPC9lcD4NCjxvcz4xMjYtMTM3PC9vcz5dXT48L1BhZ2VSYW5nZT4NCiAgICAgICAgPEVuZFBhZ2U+MTM3PC9FbmRQYWdlPg0KICAgICAgICA8U3RhcnRQYWdlPjEyNjwvU3RhcnRQYWdlPg0KICAgICAgICA8UGVyaW9kaWNhbD4NCiAgICAgICAgICA8TmFtZT5FdXJvcGVhbiBKb3VybmFsIG9mIE51dHJpdGlvbiAmYW1wOyBGb29kIFNhZmV0eTwvTmFtZT4NCiAgICAgICAgPC9QZXJpb2RpY2FsPg0KICAgICAgICA8U2VxdWVuY2VOdW1iZXI+MTI8L1NlcXVlbmNlTnVtYmVyPg0KICAgICAgICA8U2hvcnRUaXRsZT5SYWFkdCwgV2lydHogZXQgYWwuIDIwMTUg4oCTIFNob3J0IFJldmlldyBvZiBFeHRyYWN0czwvU2hvcnRUaXRsZT4NCiAgICAgICAgPFNvdXJjZU9mQmlibGlvZ3JhcGhpY0luZm9ybWF0aW9uPkVuZE5vdGUgVGFnZ2VkIEltcG9ydCBGb3JtYXQ8L1NvdXJjZU9mQmlibGlvZ3JhcGhpY0luZm9ybWF0aW9uPg0KICAgICAgICA8VGl0bGU+U2hvcnQgUmV2aWV3IG9mIEV4dHJhY3RzIG9mIFJvc2VtYXJ5IGFzIGEgRm9vZCBBZGRpdGl2ZTwvVGl0bGU+DQogICAgICAgIDxWb2x1bWU+NTwvVm9sdW1lPg0KICAgICAgICA8WWVhcj4yMDE1PC9ZZWFyPg0KICAgICAgPC9SZWZlcmVuY2U+DQogICAgPC9FbnRyeT4NCiAgICA8RW50cnk+DQogICAgICA8SWQ+ZmFjNDYzOTYtYzRhZC00MDBjLThjNTYtZmFiYTNiYzg3MDg5PC9JZD4NCiAgICAgIDxSZWZlcmVuY2VJZD5iMzg2NDQ5Yi1iODc2LTQxZDMtYWQ1Zi0zNGZjMTRmMzM3MTg8L1JlZmVyZW5jZUlkPg0KICAgICAgPFJhbmdlPg0KICAgICAgICA8U3RhcnQ+NDU8L1N0YXJ0Pg0KICAgICAgICA8TGVuZ3RoPjEzPC9MZW5ndGg+DQogICAgICA8L1JhbmdlPg0KICAgICAgPFJlZmVyZW5jZT4NCiAgICAgICAgPFJlZmVyZW5jZVR5cGVJZD5Kb3VybmFsQXJ0aWNsZTwvUmVmZXJlbmNlVHlwZUlkPg0KICAgICAgICA8QXV0aG9ycz4NCiAgICAgICAgICA8UGVyc29uPg0KICAgICAgICAgICAgPExhc3ROYW1lPkpFQ0ZBPC9MYXN0TmFtZT4NCiAgICAgICAgICA8L1BlcnNvbj4NCiAgICAgICAgPC9BdXRob3JzPg0KICAgICAgICA8RGF0ZT4yMDE2PC9EYXRlPg0KICAgICAgICA8RWRpdGlvbj44Mm5kIEpFQ0ZBPC9FZGl0aW9uPg0KICAgICAgICA8SWQ+YjM4NjQ0OWItYjg3Ni00MWQzLWFkNWYtMzRmYzE0ZjMzNzE4PC9JZD4NCiAgICAgICAgPE9yZ2FuaXphdGlvbnM+DQogICAgICAgICAgPFBlcnNvbj4NCiAgICAgICAgICAgIDxMYXN0TmFtZT5Gb29kIGFuZCBBZ3JpY3VsdHVyZSBPcmdhbml6YXRpb24gb2YgdGhlIFVuaXRlZCBOYXRpb25zPC9MYXN0TmFtZT4NCiAgICAgICAgICA8L1BlcnNvbj4NCiAgICAgICAgPC9Pcmdhbml6YXRpb25zPg0KICAgICAgICA8U2VxdWVuY2VOdW1iZXI+MTU8L1NlcXVlbmNlTnVtYmVyPg0KICAgICAgICA8U2hvcnRUaXRsZT5KRUNGQSAyMDE2IOKAkyBSb3NlbWFyeSBFeHRyYWN0IENoZW1pY2FsIGFuZCBUZWNobmljYWw8L1Nob3J0VGl0bGU+DQogICAgICAgIDxUaXRsZT5Sb3NlbWFyeSBFeHRyYWN0IENoZW1pY2FsIGFuZCBUZWNobmljYWwgQXNzZXNzbWVudDwvVGl0bGU+DQogICAgICAgIDxZZWFyPjIwMTY8L1llYXI+DQogICAgICA8L1JlZmVyZW5jZT4NCiAgICA8L0VudHJ5Pg0KICA8L0VudHJpZXM+DQogIDxUZXh0PihCZXJkYWhsIGFuZCBNY0tlYWd1ZSAyMDE1OyBSYWFkdCBldCBhbC4gMjAxNTsgSkVDRkE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cmRhaGwgYW5kIE1jS2VhZ3VlIDIwMTU7IFJhYWR0IGV0IGFsLiAyMDE1OyBKRUNGQSAyMDE2KTwvVGV4dD4NCiAgICA8L1RleHRVbml0Pg0KICA8L1RleHRVbml0cz4NCjwvUGxhY2Vob2xkZXI+</w:instrText>
      </w:r>
      <w:r w:rsidR="00805336">
        <w:rPr>
          <w:rFonts w:cs="Times"/>
          <w:color w:val="221E1F"/>
        </w:rPr>
        <w:fldChar w:fldCharType="separate"/>
      </w:r>
      <w:bookmarkStart w:id="33" w:name="_CTVP001cc3820780dc448cd9a65e696ca51f3e7"/>
      <w:r w:rsidR="002F200C">
        <w:rPr>
          <w:rFonts w:cs="Times"/>
          <w:color w:val="221E1F"/>
        </w:rPr>
        <w:t>(Berdahl and McKeague 2015; Raadt et al. 2015; JECFA 2016)</w:t>
      </w:r>
      <w:bookmarkEnd w:id="33"/>
      <w:r w:rsidR="00805336">
        <w:rPr>
          <w:rFonts w:cs="Times"/>
          <w:color w:val="221E1F"/>
        </w:rPr>
        <w:fldChar w:fldCharType="end"/>
      </w:r>
    </w:p>
    <w:p w14:paraId="046CCA8D" w14:textId="1D20DD02" w:rsidR="00B5723A" w:rsidRDefault="00B5723A" w:rsidP="00D03F63">
      <w:pPr>
        <w:tabs>
          <w:tab w:val="left" w:pos="993"/>
        </w:tabs>
        <w:rPr>
          <w:rFonts w:cs="Times"/>
          <w:color w:val="221E1F"/>
        </w:rPr>
      </w:pPr>
    </w:p>
    <w:p w14:paraId="10CB65FA" w14:textId="118DA83A" w:rsidR="00B5723A" w:rsidRPr="00D03F63" w:rsidRDefault="00B5723A" w:rsidP="00D03F63">
      <w:pPr>
        <w:tabs>
          <w:tab w:val="left" w:pos="993"/>
        </w:tabs>
        <w:rPr>
          <w:rFonts w:cs="Times"/>
          <w:color w:val="221E1F"/>
        </w:rPr>
      </w:pPr>
      <w:r>
        <w:rPr>
          <w:rFonts w:cs="Times"/>
          <w:color w:val="221E1F"/>
        </w:rPr>
        <w:t>There is no specification available for rosemary extract used as a flavour. Consequently there is no guide to the expected concentrations of carnosic acid</w:t>
      </w:r>
      <w:r w:rsidR="00A61845">
        <w:rPr>
          <w:rFonts w:cs="Times"/>
          <w:color w:val="221E1F"/>
        </w:rPr>
        <w:t xml:space="preserve"> plus carnosol</w:t>
      </w:r>
      <w:r>
        <w:rPr>
          <w:rFonts w:cs="Times"/>
          <w:color w:val="221E1F"/>
        </w:rPr>
        <w:t xml:space="preserve"> in foods where rosemary extract has been used as a flavour. </w:t>
      </w:r>
      <w:r w:rsidR="00FC3C10">
        <w:rPr>
          <w:rFonts w:cs="Times"/>
          <w:color w:val="221E1F"/>
        </w:rPr>
        <w:t>However, f</w:t>
      </w:r>
      <w:r>
        <w:rPr>
          <w:rFonts w:cs="Times"/>
          <w:color w:val="221E1F"/>
        </w:rPr>
        <w:t>lavours are generally used in ver</w:t>
      </w:r>
      <w:r w:rsidR="00920F7E">
        <w:rPr>
          <w:rFonts w:cs="Times"/>
          <w:color w:val="221E1F"/>
        </w:rPr>
        <w:t>y small quantities in the food s</w:t>
      </w:r>
      <w:r>
        <w:rPr>
          <w:rFonts w:cs="Times"/>
          <w:color w:val="221E1F"/>
        </w:rPr>
        <w:t xml:space="preserve">upply and are not expected to be a key source of dietary exposure. </w:t>
      </w:r>
    </w:p>
    <w:p w14:paraId="558EB2CA" w14:textId="375B9D7B" w:rsidR="00D03F63" w:rsidRPr="00D03F63" w:rsidRDefault="00D03F63" w:rsidP="005137FA">
      <w:pPr>
        <w:pStyle w:val="Heading3"/>
      </w:pPr>
      <w:bookmarkStart w:id="34" w:name="_Toc516056523"/>
      <w:bookmarkStart w:id="35" w:name="_Toc517709869"/>
      <w:bookmarkStart w:id="36" w:name="_Toc518388269"/>
      <w:bookmarkStart w:id="37" w:name="_Toc526498358"/>
      <w:r w:rsidRPr="00D03F63">
        <w:t>2.1.3</w:t>
      </w:r>
      <w:r w:rsidRPr="00D03F63">
        <w:tab/>
        <w:t>Technological justification</w:t>
      </w:r>
      <w:bookmarkEnd w:id="34"/>
      <w:bookmarkEnd w:id="35"/>
      <w:bookmarkEnd w:id="36"/>
      <w:bookmarkEnd w:id="37"/>
    </w:p>
    <w:p w14:paraId="5E6DCBB1" w14:textId="75C6772E" w:rsidR="00D03F63" w:rsidRPr="00D03F63" w:rsidRDefault="00D03F63" w:rsidP="00D03F63">
      <w:pPr>
        <w:tabs>
          <w:tab w:val="left" w:pos="993"/>
        </w:tabs>
      </w:pPr>
      <w:r w:rsidRPr="00D03F63">
        <w:t xml:space="preserve">The application cites 31 studies </w:t>
      </w:r>
      <w:r w:rsidR="0049611C">
        <w:t>demonstrating</w:t>
      </w:r>
      <w:r w:rsidRPr="00D03F63">
        <w:t xml:space="preserve"> the efficacy of rosemary extract as an antioxidant in a variety of foods (Table 2.2). The amounts of rosemary extract, expressed as carnosic acid</w:t>
      </w:r>
      <w:r w:rsidR="00A61845">
        <w:t xml:space="preserve"> plus carnosic acid</w:t>
      </w:r>
      <w:r w:rsidRPr="00D03F63">
        <w:t xml:space="preserve">, that was found to be effective in these studies are comparable to the requested permissions in the application. </w:t>
      </w:r>
    </w:p>
    <w:p w14:paraId="352C3D1D" w14:textId="77777777" w:rsidR="00D03F63" w:rsidRPr="00D03F63" w:rsidRDefault="00D03F63" w:rsidP="00D03F63">
      <w:pPr>
        <w:tabs>
          <w:tab w:val="left" w:pos="993"/>
        </w:tabs>
      </w:pPr>
    </w:p>
    <w:p w14:paraId="7D314604" w14:textId="044A7A7F" w:rsidR="00D03F63" w:rsidRPr="00BD2527" w:rsidRDefault="008F66D7" w:rsidP="00BD2527">
      <w:pPr>
        <w:pStyle w:val="FSTableTitle"/>
        <w:spacing w:after="120"/>
        <w:rPr>
          <w:rFonts w:eastAsiaTheme="minorHAnsi"/>
          <w:i/>
          <w:lang w:bidi="ar-SA"/>
        </w:rPr>
      </w:pPr>
      <w:r w:rsidRPr="00BD2527">
        <w:rPr>
          <w:rFonts w:eastAsiaTheme="minorHAnsi"/>
          <w:i/>
          <w:lang w:bidi="ar-SA"/>
        </w:rPr>
        <w:t>Table 2.2</w:t>
      </w:r>
      <w:r w:rsidR="00D03F63" w:rsidRPr="00BD2527">
        <w:rPr>
          <w:rFonts w:eastAsiaTheme="minorHAnsi"/>
          <w:i/>
          <w:lang w:bidi="ar-SA"/>
        </w:rPr>
        <w:tab/>
        <w:t>Efficacy of rosemary extract used as an antioxidant</w:t>
      </w:r>
      <w:r w:rsidR="00D03F63" w:rsidRPr="00BD2527">
        <w:rPr>
          <w:rFonts w:eastAsiaTheme="minorHAnsi"/>
          <w:i/>
          <w:vertAlign w:val="superscript"/>
          <w:lang w:bidi="ar-SA"/>
        </w:rPr>
        <w:t>1</w:t>
      </w:r>
    </w:p>
    <w:tbl>
      <w:tblPr>
        <w:tblStyle w:val="TableGrid1"/>
        <w:tblW w:w="9067" w:type="dxa"/>
        <w:tblLook w:val="04A0" w:firstRow="1" w:lastRow="0" w:firstColumn="1" w:lastColumn="0" w:noHBand="0" w:noVBand="1"/>
        <w:tblCaption w:val="Efficacy of rosemary extract used as an antioxidant"/>
        <w:tblDescription w:val="Summary of studies showing the efficacy of rosemary extract added to a range of foods as an antioxidant."/>
      </w:tblPr>
      <w:tblGrid>
        <w:gridCol w:w="2263"/>
        <w:gridCol w:w="3261"/>
        <w:gridCol w:w="1771"/>
        <w:gridCol w:w="1772"/>
      </w:tblGrid>
      <w:tr w:rsidR="00D03F63" w:rsidRPr="00D03F63" w14:paraId="5A9A2DCC" w14:textId="77777777" w:rsidTr="00D4341D">
        <w:trPr>
          <w:trHeight w:val="567"/>
        </w:trPr>
        <w:tc>
          <w:tcPr>
            <w:tcW w:w="2263" w:type="dxa"/>
            <w:vMerge w:val="restart"/>
            <w:vAlign w:val="center"/>
          </w:tcPr>
          <w:p w14:paraId="66580867" w14:textId="77777777" w:rsidR="00D03F63" w:rsidRPr="00D03F63" w:rsidRDefault="00D03F63" w:rsidP="004F43D0">
            <w:pPr>
              <w:pStyle w:val="FSTableHeading"/>
            </w:pPr>
            <w:r w:rsidRPr="00D03F63">
              <w:t>Food  (no. of studies)</w:t>
            </w:r>
          </w:p>
        </w:tc>
        <w:tc>
          <w:tcPr>
            <w:tcW w:w="3261" w:type="dxa"/>
            <w:vMerge w:val="restart"/>
            <w:vAlign w:val="center"/>
          </w:tcPr>
          <w:p w14:paraId="5A47487C" w14:textId="77777777" w:rsidR="00D03F63" w:rsidRPr="00D03F63" w:rsidRDefault="00D03F63" w:rsidP="004F43D0">
            <w:pPr>
              <w:pStyle w:val="FSTableHeading"/>
            </w:pPr>
            <w:r w:rsidRPr="00D03F63">
              <w:t xml:space="preserve">Outcome </w:t>
            </w:r>
          </w:p>
        </w:tc>
        <w:tc>
          <w:tcPr>
            <w:tcW w:w="3543" w:type="dxa"/>
            <w:gridSpan w:val="2"/>
            <w:vAlign w:val="center"/>
          </w:tcPr>
          <w:p w14:paraId="7BB49A8E" w14:textId="7BA6D3D1" w:rsidR="00D03F63" w:rsidRPr="00D03F63" w:rsidRDefault="00E67220" w:rsidP="004F43D0">
            <w:pPr>
              <w:pStyle w:val="FSTableHeading"/>
            </w:pPr>
            <w:r>
              <w:t>Carnosol</w:t>
            </w:r>
            <w:r w:rsidR="00D03F63" w:rsidRPr="00D03F63">
              <w:t xml:space="preserve"> + carnosic acid </w:t>
            </w:r>
          </w:p>
        </w:tc>
      </w:tr>
      <w:tr w:rsidR="00D03F63" w:rsidRPr="00D03F63" w14:paraId="5899B338" w14:textId="77777777" w:rsidTr="00D4341D">
        <w:trPr>
          <w:trHeight w:val="567"/>
        </w:trPr>
        <w:tc>
          <w:tcPr>
            <w:tcW w:w="2263" w:type="dxa"/>
            <w:vMerge/>
            <w:vAlign w:val="center"/>
          </w:tcPr>
          <w:p w14:paraId="67DBE0D2" w14:textId="77777777" w:rsidR="00D03F63" w:rsidRPr="00D03F63" w:rsidRDefault="00D03F63" w:rsidP="00D03F63">
            <w:pPr>
              <w:tabs>
                <w:tab w:val="left" w:pos="993"/>
              </w:tabs>
              <w:rPr>
                <w:sz w:val="20"/>
                <w:szCs w:val="20"/>
              </w:rPr>
            </w:pPr>
          </w:p>
        </w:tc>
        <w:tc>
          <w:tcPr>
            <w:tcW w:w="3261" w:type="dxa"/>
            <w:vMerge/>
            <w:vAlign w:val="center"/>
          </w:tcPr>
          <w:p w14:paraId="794CBFD6" w14:textId="77777777" w:rsidR="00D03F63" w:rsidRPr="00D03F63" w:rsidRDefault="00D03F63" w:rsidP="00D03F63">
            <w:pPr>
              <w:tabs>
                <w:tab w:val="left" w:pos="993"/>
              </w:tabs>
              <w:rPr>
                <w:sz w:val="20"/>
                <w:szCs w:val="20"/>
              </w:rPr>
            </w:pPr>
          </w:p>
        </w:tc>
        <w:tc>
          <w:tcPr>
            <w:tcW w:w="1771" w:type="dxa"/>
            <w:vAlign w:val="center"/>
          </w:tcPr>
          <w:p w14:paraId="106875FF" w14:textId="77777777" w:rsidR="00D03F63" w:rsidRPr="00D03F63" w:rsidRDefault="00D03F63" w:rsidP="00D03F63">
            <w:pPr>
              <w:tabs>
                <w:tab w:val="left" w:pos="993"/>
              </w:tabs>
              <w:jc w:val="center"/>
              <w:rPr>
                <w:sz w:val="20"/>
                <w:szCs w:val="20"/>
              </w:rPr>
            </w:pPr>
            <w:r w:rsidRPr="00D03F63">
              <w:rPr>
                <w:sz w:val="20"/>
                <w:szCs w:val="20"/>
              </w:rPr>
              <w:t>Range used in studies (mg/kg)</w:t>
            </w:r>
          </w:p>
        </w:tc>
        <w:tc>
          <w:tcPr>
            <w:tcW w:w="1772" w:type="dxa"/>
            <w:vAlign w:val="center"/>
          </w:tcPr>
          <w:p w14:paraId="128377DA" w14:textId="7A5781AF" w:rsidR="00D03F63" w:rsidRPr="00D03F63" w:rsidRDefault="00D03F63" w:rsidP="00D03F63">
            <w:pPr>
              <w:tabs>
                <w:tab w:val="left" w:pos="993"/>
              </w:tabs>
              <w:jc w:val="center"/>
              <w:rPr>
                <w:sz w:val="20"/>
                <w:szCs w:val="20"/>
              </w:rPr>
            </w:pPr>
            <w:r w:rsidRPr="00D03F63">
              <w:rPr>
                <w:sz w:val="20"/>
                <w:szCs w:val="20"/>
              </w:rPr>
              <w:t>Proposed MPL</w:t>
            </w:r>
            <w:r w:rsidR="00EB6AB8">
              <w:rPr>
                <w:sz w:val="20"/>
                <w:szCs w:val="20"/>
                <w:vertAlign w:val="superscript"/>
              </w:rPr>
              <w:t>2</w:t>
            </w:r>
            <w:r w:rsidRPr="00D03F63">
              <w:rPr>
                <w:sz w:val="20"/>
                <w:szCs w:val="20"/>
              </w:rPr>
              <w:t xml:space="preserve"> (mg/kg)</w:t>
            </w:r>
          </w:p>
        </w:tc>
      </w:tr>
      <w:tr w:rsidR="00D03F63" w:rsidRPr="00D03F63" w14:paraId="3F88A856" w14:textId="77777777" w:rsidTr="00D4341D">
        <w:trPr>
          <w:trHeight w:val="567"/>
        </w:trPr>
        <w:tc>
          <w:tcPr>
            <w:tcW w:w="2263" w:type="dxa"/>
            <w:vAlign w:val="center"/>
          </w:tcPr>
          <w:p w14:paraId="1B7D610F" w14:textId="77777777" w:rsidR="00D03F63" w:rsidRPr="00D03F63" w:rsidRDefault="00D03F63" w:rsidP="00D03F63">
            <w:pPr>
              <w:tabs>
                <w:tab w:val="left" w:pos="993"/>
              </w:tabs>
              <w:rPr>
                <w:sz w:val="20"/>
                <w:szCs w:val="20"/>
              </w:rPr>
            </w:pPr>
            <w:r w:rsidRPr="00D03F63">
              <w:rPr>
                <w:sz w:val="20"/>
                <w:szCs w:val="20"/>
              </w:rPr>
              <w:t>Meat (13)</w:t>
            </w:r>
          </w:p>
        </w:tc>
        <w:tc>
          <w:tcPr>
            <w:tcW w:w="3261" w:type="dxa"/>
            <w:vAlign w:val="center"/>
          </w:tcPr>
          <w:p w14:paraId="34013DA3" w14:textId="2A794D37" w:rsidR="00D03F63" w:rsidRPr="00D03F63" w:rsidRDefault="00D03F63" w:rsidP="00D03F63">
            <w:pPr>
              <w:tabs>
                <w:tab w:val="left" w:pos="993"/>
              </w:tabs>
              <w:rPr>
                <w:sz w:val="20"/>
                <w:szCs w:val="20"/>
              </w:rPr>
            </w:pPr>
            <w:r w:rsidRPr="00D03F63">
              <w:rPr>
                <w:sz w:val="20"/>
                <w:szCs w:val="20"/>
              </w:rPr>
              <w:t>Reduced oxidation, flavour deterioration,</w:t>
            </w:r>
            <w:r w:rsidR="00920F7E">
              <w:rPr>
                <w:sz w:val="20"/>
                <w:szCs w:val="20"/>
              </w:rPr>
              <w:t xml:space="preserve"> </w:t>
            </w:r>
            <w:r w:rsidRPr="00D03F63">
              <w:rPr>
                <w:sz w:val="20"/>
                <w:szCs w:val="20"/>
              </w:rPr>
              <w:t>microbial growth; improved meat colour</w:t>
            </w:r>
          </w:p>
        </w:tc>
        <w:tc>
          <w:tcPr>
            <w:tcW w:w="1771" w:type="dxa"/>
            <w:vAlign w:val="center"/>
          </w:tcPr>
          <w:p w14:paraId="2EA6711B" w14:textId="77777777" w:rsidR="00D03F63" w:rsidRPr="00D03F63" w:rsidRDefault="00D03F63" w:rsidP="00D03F63">
            <w:pPr>
              <w:tabs>
                <w:tab w:val="left" w:pos="993"/>
              </w:tabs>
              <w:jc w:val="center"/>
              <w:rPr>
                <w:sz w:val="20"/>
                <w:szCs w:val="20"/>
              </w:rPr>
            </w:pPr>
            <w:r w:rsidRPr="00D03F63">
              <w:rPr>
                <w:sz w:val="20"/>
                <w:szCs w:val="20"/>
              </w:rPr>
              <w:t xml:space="preserve">10-200 </w:t>
            </w:r>
          </w:p>
        </w:tc>
        <w:tc>
          <w:tcPr>
            <w:tcW w:w="1772" w:type="dxa"/>
            <w:vAlign w:val="center"/>
          </w:tcPr>
          <w:p w14:paraId="424DD8F3" w14:textId="77777777" w:rsidR="00D03F63" w:rsidRPr="00D03F63" w:rsidRDefault="00D03F63" w:rsidP="00D03F63">
            <w:pPr>
              <w:tabs>
                <w:tab w:val="left" w:pos="993"/>
              </w:tabs>
              <w:jc w:val="center"/>
              <w:rPr>
                <w:sz w:val="20"/>
                <w:szCs w:val="20"/>
              </w:rPr>
            </w:pPr>
            <w:r w:rsidRPr="00D03F63">
              <w:rPr>
                <w:sz w:val="20"/>
                <w:szCs w:val="20"/>
              </w:rPr>
              <w:t>1.5-50</w:t>
            </w:r>
          </w:p>
        </w:tc>
      </w:tr>
      <w:tr w:rsidR="00D03F63" w:rsidRPr="00D03F63" w14:paraId="584D8F5E" w14:textId="77777777" w:rsidTr="00D4341D">
        <w:trPr>
          <w:trHeight w:val="567"/>
        </w:trPr>
        <w:tc>
          <w:tcPr>
            <w:tcW w:w="2263" w:type="dxa"/>
            <w:vAlign w:val="center"/>
          </w:tcPr>
          <w:p w14:paraId="78AEBEB6" w14:textId="77777777" w:rsidR="00D03F63" w:rsidRPr="00D03F63" w:rsidRDefault="00D03F63" w:rsidP="00D03F63">
            <w:pPr>
              <w:tabs>
                <w:tab w:val="left" w:pos="993"/>
              </w:tabs>
              <w:rPr>
                <w:sz w:val="20"/>
                <w:szCs w:val="20"/>
              </w:rPr>
            </w:pPr>
            <w:r w:rsidRPr="00D03F63">
              <w:rPr>
                <w:sz w:val="20"/>
                <w:szCs w:val="20"/>
              </w:rPr>
              <w:t>Nuts/nut oil (4)</w:t>
            </w:r>
          </w:p>
        </w:tc>
        <w:tc>
          <w:tcPr>
            <w:tcW w:w="3261" w:type="dxa"/>
            <w:vAlign w:val="center"/>
          </w:tcPr>
          <w:p w14:paraId="62D7334B" w14:textId="77777777" w:rsidR="00D03F63" w:rsidRPr="00D03F63" w:rsidRDefault="00D03F63" w:rsidP="00D03F63">
            <w:pPr>
              <w:tabs>
                <w:tab w:val="left" w:pos="993"/>
              </w:tabs>
              <w:rPr>
                <w:sz w:val="20"/>
                <w:szCs w:val="20"/>
              </w:rPr>
            </w:pPr>
            <w:r w:rsidRPr="00D03F63">
              <w:rPr>
                <w:sz w:val="20"/>
                <w:szCs w:val="20"/>
              </w:rPr>
              <w:t>Reduced lipid oxidation and/or increased shelf life</w:t>
            </w:r>
          </w:p>
        </w:tc>
        <w:tc>
          <w:tcPr>
            <w:tcW w:w="1771" w:type="dxa"/>
            <w:vAlign w:val="center"/>
          </w:tcPr>
          <w:p w14:paraId="74D7A2BA" w14:textId="77777777" w:rsidR="00D03F63" w:rsidRPr="00D03F63" w:rsidRDefault="00D03F63" w:rsidP="00D03F63">
            <w:pPr>
              <w:tabs>
                <w:tab w:val="left" w:pos="993"/>
              </w:tabs>
              <w:jc w:val="center"/>
              <w:rPr>
                <w:sz w:val="20"/>
                <w:szCs w:val="20"/>
              </w:rPr>
            </w:pPr>
            <w:r w:rsidRPr="00D03F63">
              <w:rPr>
                <w:sz w:val="20"/>
                <w:szCs w:val="20"/>
              </w:rPr>
              <w:t xml:space="preserve">10-200 </w:t>
            </w:r>
          </w:p>
        </w:tc>
        <w:tc>
          <w:tcPr>
            <w:tcW w:w="1772" w:type="dxa"/>
            <w:vAlign w:val="center"/>
          </w:tcPr>
          <w:p w14:paraId="0F8ABBA6" w14:textId="77777777" w:rsidR="00D03F63" w:rsidRPr="00D03F63" w:rsidRDefault="00D03F63" w:rsidP="00D03F63">
            <w:pPr>
              <w:tabs>
                <w:tab w:val="left" w:pos="993"/>
              </w:tabs>
              <w:jc w:val="center"/>
              <w:rPr>
                <w:sz w:val="20"/>
                <w:szCs w:val="20"/>
              </w:rPr>
            </w:pPr>
            <w:r w:rsidRPr="00D03F63">
              <w:rPr>
                <w:sz w:val="20"/>
                <w:szCs w:val="20"/>
              </w:rPr>
              <w:t>50</w:t>
            </w:r>
          </w:p>
        </w:tc>
      </w:tr>
      <w:tr w:rsidR="00D03F63" w:rsidRPr="00D03F63" w14:paraId="5D304798" w14:textId="77777777" w:rsidTr="00D4341D">
        <w:trPr>
          <w:trHeight w:val="567"/>
        </w:trPr>
        <w:tc>
          <w:tcPr>
            <w:tcW w:w="2263" w:type="dxa"/>
            <w:vAlign w:val="center"/>
          </w:tcPr>
          <w:p w14:paraId="3281EE9A" w14:textId="77777777" w:rsidR="00D03F63" w:rsidRPr="00D03F63" w:rsidRDefault="00D03F63" w:rsidP="00D03F63">
            <w:pPr>
              <w:tabs>
                <w:tab w:val="left" w:pos="993"/>
              </w:tabs>
              <w:rPr>
                <w:sz w:val="20"/>
                <w:szCs w:val="20"/>
              </w:rPr>
            </w:pPr>
            <w:r w:rsidRPr="00D03F63">
              <w:rPr>
                <w:sz w:val="20"/>
                <w:szCs w:val="20"/>
              </w:rPr>
              <w:t>Savoury snacks (7)</w:t>
            </w:r>
          </w:p>
        </w:tc>
        <w:tc>
          <w:tcPr>
            <w:tcW w:w="3261" w:type="dxa"/>
            <w:vAlign w:val="center"/>
          </w:tcPr>
          <w:p w14:paraId="3DAB6189" w14:textId="77777777" w:rsidR="00D03F63" w:rsidRPr="00D03F63" w:rsidRDefault="00D03F63" w:rsidP="00D03F63">
            <w:pPr>
              <w:tabs>
                <w:tab w:val="left" w:pos="993"/>
              </w:tabs>
              <w:rPr>
                <w:sz w:val="20"/>
                <w:szCs w:val="20"/>
              </w:rPr>
            </w:pPr>
            <w:r w:rsidRPr="00D03F63">
              <w:rPr>
                <w:sz w:val="20"/>
                <w:szCs w:val="20"/>
              </w:rPr>
              <w:t>Inhibited oil oxidation, improved oil quality/sensory quality of snack</w:t>
            </w:r>
          </w:p>
        </w:tc>
        <w:tc>
          <w:tcPr>
            <w:tcW w:w="1771" w:type="dxa"/>
            <w:vAlign w:val="center"/>
          </w:tcPr>
          <w:p w14:paraId="72C9AB92" w14:textId="77777777" w:rsidR="00D03F63" w:rsidRPr="00D03F63" w:rsidRDefault="00D03F63" w:rsidP="00D03F63">
            <w:pPr>
              <w:tabs>
                <w:tab w:val="left" w:pos="993"/>
              </w:tabs>
              <w:jc w:val="center"/>
              <w:rPr>
                <w:sz w:val="20"/>
                <w:szCs w:val="20"/>
              </w:rPr>
            </w:pPr>
            <w:r w:rsidRPr="00D03F63">
              <w:rPr>
                <w:sz w:val="20"/>
                <w:szCs w:val="20"/>
              </w:rPr>
              <w:t xml:space="preserve">10-60 </w:t>
            </w:r>
          </w:p>
          <w:p w14:paraId="3DC7E1F9" w14:textId="77777777" w:rsidR="00D03F63" w:rsidRPr="00D03F63" w:rsidRDefault="00D03F63" w:rsidP="00D03F63">
            <w:pPr>
              <w:tabs>
                <w:tab w:val="left" w:pos="993"/>
              </w:tabs>
              <w:jc w:val="center"/>
              <w:rPr>
                <w:sz w:val="20"/>
                <w:szCs w:val="20"/>
              </w:rPr>
            </w:pPr>
            <w:r w:rsidRPr="00D03F63">
              <w:rPr>
                <w:sz w:val="20"/>
                <w:szCs w:val="20"/>
              </w:rPr>
              <w:t>(added to oil used)</w:t>
            </w:r>
          </w:p>
        </w:tc>
        <w:tc>
          <w:tcPr>
            <w:tcW w:w="1772" w:type="dxa"/>
            <w:vAlign w:val="center"/>
          </w:tcPr>
          <w:p w14:paraId="3834D085" w14:textId="77777777" w:rsidR="00D03F63" w:rsidRPr="00D03F63" w:rsidRDefault="00D03F63" w:rsidP="00D03F63">
            <w:pPr>
              <w:tabs>
                <w:tab w:val="left" w:pos="993"/>
              </w:tabs>
              <w:jc w:val="center"/>
              <w:rPr>
                <w:sz w:val="20"/>
                <w:szCs w:val="20"/>
              </w:rPr>
            </w:pPr>
            <w:r w:rsidRPr="00D03F63">
              <w:rPr>
                <w:sz w:val="20"/>
                <w:szCs w:val="20"/>
              </w:rPr>
              <w:t>(20)</w:t>
            </w:r>
            <w:r w:rsidRPr="00D03F63">
              <w:rPr>
                <w:sz w:val="20"/>
                <w:szCs w:val="20"/>
                <w:vertAlign w:val="superscript"/>
              </w:rPr>
              <w:t>2</w:t>
            </w:r>
          </w:p>
        </w:tc>
      </w:tr>
      <w:tr w:rsidR="00D03F63" w:rsidRPr="00D03F63" w14:paraId="790A4203" w14:textId="77777777" w:rsidTr="00D4341D">
        <w:trPr>
          <w:trHeight w:val="567"/>
        </w:trPr>
        <w:tc>
          <w:tcPr>
            <w:tcW w:w="2263" w:type="dxa"/>
            <w:vAlign w:val="center"/>
          </w:tcPr>
          <w:p w14:paraId="203784C9" w14:textId="77777777" w:rsidR="00D03F63" w:rsidRPr="00D03F63" w:rsidRDefault="00D03F63" w:rsidP="00D03F63">
            <w:pPr>
              <w:tabs>
                <w:tab w:val="left" w:pos="993"/>
              </w:tabs>
              <w:rPr>
                <w:sz w:val="20"/>
                <w:szCs w:val="20"/>
              </w:rPr>
            </w:pPr>
            <w:r w:rsidRPr="00D03F63">
              <w:rPr>
                <w:sz w:val="20"/>
                <w:szCs w:val="20"/>
              </w:rPr>
              <w:t>Baked goods/bread (1)</w:t>
            </w:r>
          </w:p>
        </w:tc>
        <w:tc>
          <w:tcPr>
            <w:tcW w:w="3261" w:type="dxa"/>
            <w:vAlign w:val="center"/>
          </w:tcPr>
          <w:p w14:paraId="0CEDE272" w14:textId="77777777" w:rsidR="00D03F63" w:rsidRPr="00D03F63" w:rsidRDefault="00D03F63" w:rsidP="00D03F63">
            <w:pPr>
              <w:tabs>
                <w:tab w:val="left" w:pos="993"/>
              </w:tabs>
              <w:rPr>
                <w:sz w:val="20"/>
                <w:szCs w:val="20"/>
              </w:rPr>
            </w:pPr>
            <w:r w:rsidRPr="00D03F63">
              <w:rPr>
                <w:sz w:val="20"/>
                <w:szCs w:val="20"/>
              </w:rPr>
              <w:t>Sensory quality</w:t>
            </w:r>
          </w:p>
        </w:tc>
        <w:tc>
          <w:tcPr>
            <w:tcW w:w="1771" w:type="dxa"/>
            <w:vAlign w:val="center"/>
          </w:tcPr>
          <w:p w14:paraId="1D14F793" w14:textId="77777777" w:rsidR="00D03F63" w:rsidRPr="00D03F63" w:rsidRDefault="00D03F63" w:rsidP="00D03F63">
            <w:pPr>
              <w:tabs>
                <w:tab w:val="left" w:pos="993"/>
              </w:tabs>
              <w:jc w:val="center"/>
              <w:rPr>
                <w:sz w:val="20"/>
                <w:szCs w:val="20"/>
              </w:rPr>
            </w:pPr>
            <w:r w:rsidRPr="00D03F63">
              <w:rPr>
                <w:sz w:val="20"/>
                <w:szCs w:val="20"/>
              </w:rPr>
              <w:t xml:space="preserve">500-1500 </w:t>
            </w:r>
          </w:p>
          <w:p w14:paraId="486A72CE" w14:textId="77777777" w:rsidR="00D03F63" w:rsidRPr="00D03F63" w:rsidRDefault="00D03F63" w:rsidP="00D03F63">
            <w:pPr>
              <w:tabs>
                <w:tab w:val="left" w:pos="993"/>
              </w:tabs>
              <w:jc w:val="center"/>
              <w:rPr>
                <w:sz w:val="20"/>
                <w:szCs w:val="20"/>
              </w:rPr>
            </w:pPr>
            <w:r w:rsidRPr="00D03F63">
              <w:rPr>
                <w:sz w:val="20"/>
                <w:szCs w:val="20"/>
              </w:rPr>
              <w:t>(added to oil used)</w:t>
            </w:r>
          </w:p>
        </w:tc>
        <w:tc>
          <w:tcPr>
            <w:tcW w:w="1772" w:type="dxa"/>
            <w:vAlign w:val="center"/>
          </w:tcPr>
          <w:p w14:paraId="36C32FB7" w14:textId="1CE46EF8" w:rsidR="00D03F63" w:rsidRPr="00D03F63" w:rsidRDefault="00D03F63" w:rsidP="00D03F63">
            <w:pPr>
              <w:tabs>
                <w:tab w:val="left" w:pos="993"/>
              </w:tabs>
              <w:jc w:val="center"/>
              <w:rPr>
                <w:sz w:val="20"/>
                <w:szCs w:val="20"/>
              </w:rPr>
            </w:pPr>
            <w:r w:rsidRPr="00D03F63">
              <w:rPr>
                <w:sz w:val="20"/>
                <w:szCs w:val="20"/>
              </w:rPr>
              <w:t>(40)</w:t>
            </w:r>
            <w:r w:rsidR="00EB6AB8">
              <w:rPr>
                <w:sz w:val="20"/>
                <w:szCs w:val="20"/>
                <w:vertAlign w:val="superscript"/>
              </w:rPr>
              <w:t>3</w:t>
            </w:r>
          </w:p>
        </w:tc>
      </w:tr>
      <w:tr w:rsidR="00D03F63" w:rsidRPr="00D03F63" w14:paraId="1C55E639" w14:textId="77777777" w:rsidTr="00D4341D">
        <w:trPr>
          <w:trHeight w:val="567"/>
        </w:trPr>
        <w:tc>
          <w:tcPr>
            <w:tcW w:w="2263" w:type="dxa"/>
            <w:vAlign w:val="center"/>
          </w:tcPr>
          <w:p w14:paraId="199378AF" w14:textId="77777777" w:rsidR="00D03F63" w:rsidRPr="00D03F63" w:rsidRDefault="00D03F63" w:rsidP="00D03F63">
            <w:pPr>
              <w:tabs>
                <w:tab w:val="left" w:pos="993"/>
              </w:tabs>
              <w:rPr>
                <w:sz w:val="20"/>
                <w:szCs w:val="20"/>
              </w:rPr>
            </w:pPr>
            <w:r w:rsidRPr="00D03F63">
              <w:rPr>
                <w:sz w:val="20"/>
                <w:szCs w:val="20"/>
              </w:rPr>
              <w:t>Fats and emulsions (4)</w:t>
            </w:r>
          </w:p>
        </w:tc>
        <w:tc>
          <w:tcPr>
            <w:tcW w:w="3261" w:type="dxa"/>
            <w:vAlign w:val="center"/>
          </w:tcPr>
          <w:p w14:paraId="49899456" w14:textId="77777777" w:rsidR="00D03F63" w:rsidRPr="00D03F63" w:rsidRDefault="00D03F63" w:rsidP="00D03F63">
            <w:pPr>
              <w:tabs>
                <w:tab w:val="left" w:pos="993"/>
              </w:tabs>
              <w:rPr>
                <w:sz w:val="20"/>
                <w:szCs w:val="20"/>
              </w:rPr>
            </w:pPr>
            <w:r w:rsidRPr="00D03F63">
              <w:rPr>
                <w:sz w:val="20"/>
                <w:szCs w:val="20"/>
              </w:rPr>
              <w:t>Inhibited oxidation</w:t>
            </w:r>
          </w:p>
        </w:tc>
        <w:tc>
          <w:tcPr>
            <w:tcW w:w="1771" w:type="dxa"/>
            <w:vAlign w:val="center"/>
          </w:tcPr>
          <w:p w14:paraId="3E0C7B03" w14:textId="77777777" w:rsidR="00D03F63" w:rsidRPr="00D03F63" w:rsidRDefault="00D03F63" w:rsidP="00D03F63">
            <w:pPr>
              <w:tabs>
                <w:tab w:val="left" w:pos="993"/>
              </w:tabs>
              <w:jc w:val="center"/>
              <w:rPr>
                <w:sz w:val="20"/>
                <w:szCs w:val="20"/>
              </w:rPr>
            </w:pPr>
            <w:r w:rsidRPr="00D03F63">
              <w:rPr>
                <w:sz w:val="20"/>
                <w:szCs w:val="20"/>
              </w:rPr>
              <w:t xml:space="preserve">40-200 </w:t>
            </w:r>
          </w:p>
        </w:tc>
        <w:tc>
          <w:tcPr>
            <w:tcW w:w="1772" w:type="dxa"/>
            <w:vAlign w:val="center"/>
          </w:tcPr>
          <w:p w14:paraId="7FD7FEC6" w14:textId="77777777" w:rsidR="00D03F63" w:rsidRPr="00D03F63" w:rsidRDefault="00D03F63" w:rsidP="00D03F63">
            <w:pPr>
              <w:tabs>
                <w:tab w:val="left" w:pos="993"/>
              </w:tabs>
              <w:jc w:val="center"/>
              <w:rPr>
                <w:sz w:val="20"/>
                <w:szCs w:val="20"/>
              </w:rPr>
            </w:pPr>
            <w:r w:rsidRPr="00D03F63">
              <w:rPr>
                <w:sz w:val="20"/>
                <w:szCs w:val="20"/>
              </w:rPr>
              <w:t>50-75</w:t>
            </w:r>
          </w:p>
        </w:tc>
      </w:tr>
      <w:tr w:rsidR="00D03F63" w:rsidRPr="00D03F63" w14:paraId="7456885B" w14:textId="77777777" w:rsidTr="00D4341D">
        <w:trPr>
          <w:trHeight w:val="567"/>
        </w:trPr>
        <w:tc>
          <w:tcPr>
            <w:tcW w:w="2263" w:type="dxa"/>
            <w:vAlign w:val="center"/>
          </w:tcPr>
          <w:p w14:paraId="266DC897" w14:textId="77777777" w:rsidR="00D03F63" w:rsidRPr="00D03F63" w:rsidRDefault="00D03F63" w:rsidP="00D03F63">
            <w:pPr>
              <w:tabs>
                <w:tab w:val="left" w:pos="993"/>
              </w:tabs>
              <w:rPr>
                <w:sz w:val="20"/>
                <w:szCs w:val="20"/>
              </w:rPr>
            </w:pPr>
            <w:r w:rsidRPr="00D03F63">
              <w:rPr>
                <w:sz w:val="20"/>
                <w:szCs w:val="20"/>
              </w:rPr>
              <w:t>Fish oil (1)</w:t>
            </w:r>
          </w:p>
        </w:tc>
        <w:tc>
          <w:tcPr>
            <w:tcW w:w="3261" w:type="dxa"/>
            <w:vAlign w:val="center"/>
          </w:tcPr>
          <w:p w14:paraId="5CB4FEF4" w14:textId="77777777" w:rsidR="00D03F63" w:rsidRPr="00D03F63" w:rsidRDefault="00D03F63" w:rsidP="00D03F63">
            <w:pPr>
              <w:tabs>
                <w:tab w:val="left" w:pos="993"/>
              </w:tabs>
              <w:rPr>
                <w:sz w:val="20"/>
                <w:szCs w:val="20"/>
              </w:rPr>
            </w:pPr>
            <w:r w:rsidRPr="00D03F63">
              <w:rPr>
                <w:sz w:val="20"/>
                <w:szCs w:val="20"/>
              </w:rPr>
              <w:t>Inhibited oxidation</w:t>
            </w:r>
          </w:p>
        </w:tc>
        <w:tc>
          <w:tcPr>
            <w:tcW w:w="1771" w:type="dxa"/>
            <w:vAlign w:val="center"/>
          </w:tcPr>
          <w:p w14:paraId="26A5B607" w14:textId="77777777" w:rsidR="00D03F63" w:rsidRPr="00D03F63" w:rsidRDefault="00D03F63" w:rsidP="00D03F63">
            <w:pPr>
              <w:tabs>
                <w:tab w:val="left" w:pos="993"/>
              </w:tabs>
              <w:jc w:val="center"/>
              <w:rPr>
                <w:sz w:val="20"/>
                <w:szCs w:val="20"/>
              </w:rPr>
            </w:pPr>
            <w:r w:rsidRPr="00D03F63">
              <w:rPr>
                <w:sz w:val="20"/>
                <w:szCs w:val="20"/>
              </w:rPr>
              <w:t>100-300</w:t>
            </w:r>
          </w:p>
        </w:tc>
        <w:tc>
          <w:tcPr>
            <w:tcW w:w="1772" w:type="dxa"/>
            <w:vAlign w:val="center"/>
          </w:tcPr>
          <w:p w14:paraId="3E44E6C9" w14:textId="77777777" w:rsidR="00D03F63" w:rsidRPr="00D03F63" w:rsidRDefault="00D03F63" w:rsidP="00D03F63">
            <w:pPr>
              <w:tabs>
                <w:tab w:val="left" w:pos="993"/>
              </w:tabs>
              <w:jc w:val="center"/>
              <w:rPr>
                <w:sz w:val="20"/>
                <w:szCs w:val="20"/>
              </w:rPr>
            </w:pPr>
            <w:r w:rsidRPr="00D03F63">
              <w:rPr>
                <w:sz w:val="20"/>
                <w:szCs w:val="20"/>
              </w:rPr>
              <w:t>50</w:t>
            </w:r>
          </w:p>
        </w:tc>
      </w:tr>
    </w:tbl>
    <w:p w14:paraId="36B9F502" w14:textId="77777777" w:rsidR="00D03F63" w:rsidRPr="00D03F63" w:rsidRDefault="00D03F63" w:rsidP="00D03F63">
      <w:pPr>
        <w:tabs>
          <w:tab w:val="left" w:pos="993"/>
        </w:tabs>
        <w:rPr>
          <w:sz w:val="20"/>
          <w:szCs w:val="20"/>
        </w:rPr>
      </w:pPr>
      <w:r w:rsidRPr="00D03F63">
        <w:rPr>
          <w:sz w:val="20"/>
          <w:szCs w:val="20"/>
          <w:vertAlign w:val="superscript"/>
        </w:rPr>
        <w:t>1</w:t>
      </w:r>
      <w:r w:rsidRPr="00D03F63">
        <w:rPr>
          <w:sz w:val="20"/>
          <w:szCs w:val="20"/>
        </w:rPr>
        <w:t xml:space="preserve"> Summarised from </w:t>
      </w:r>
      <w:r w:rsidRPr="00D03F63">
        <w:rPr>
          <w:i/>
          <w:sz w:val="20"/>
          <w:szCs w:val="20"/>
        </w:rPr>
        <w:t>Table 1: Efficacy Studies</w:t>
      </w:r>
      <w:r w:rsidRPr="00D03F63">
        <w:rPr>
          <w:sz w:val="20"/>
          <w:szCs w:val="20"/>
        </w:rPr>
        <w:t xml:space="preserve"> provided in the application (pages 16-19).</w:t>
      </w:r>
    </w:p>
    <w:p w14:paraId="79D21015" w14:textId="7C6F9D28" w:rsidR="00EB6AB8" w:rsidRDefault="00D03F63" w:rsidP="00D03F63">
      <w:pPr>
        <w:tabs>
          <w:tab w:val="left" w:pos="993"/>
        </w:tabs>
      </w:pPr>
      <w:r w:rsidRPr="00D03F63">
        <w:rPr>
          <w:vertAlign w:val="superscript"/>
        </w:rPr>
        <w:t>2</w:t>
      </w:r>
      <w:r w:rsidRPr="00D03F63">
        <w:t xml:space="preserve"> </w:t>
      </w:r>
      <w:r w:rsidR="00EB6AB8" w:rsidRPr="00EB6AB8">
        <w:rPr>
          <w:sz w:val="20"/>
          <w:szCs w:val="20"/>
        </w:rPr>
        <w:t>Based on the whole food, expressed as the sum of carnosic acid plus carnosol.</w:t>
      </w:r>
    </w:p>
    <w:p w14:paraId="16F92193" w14:textId="7BCC9F64" w:rsidR="00D03F63" w:rsidRPr="00D03F63" w:rsidRDefault="00EB6AB8" w:rsidP="00D03F63">
      <w:pPr>
        <w:tabs>
          <w:tab w:val="left" w:pos="993"/>
        </w:tabs>
      </w:pPr>
      <w:r w:rsidRPr="00EB6AB8">
        <w:rPr>
          <w:vertAlign w:val="superscript"/>
        </w:rPr>
        <w:t>3</w:t>
      </w:r>
      <w:r>
        <w:t xml:space="preserve"> </w:t>
      </w:r>
      <w:r w:rsidR="00D03F63" w:rsidRPr="00D03F63">
        <w:rPr>
          <w:sz w:val="20"/>
          <w:szCs w:val="20"/>
        </w:rPr>
        <w:t>Not directly comparable to amount used in experimental study</w:t>
      </w:r>
      <w:r w:rsidR="00D03F63" w:rsidRPr="00D03F63">
        <w:t>.</w:t>
      </w:r>
    </w:p>
    <w:p w14:paraId="6E89C1B1" w14:textId="77777777" w:rsidR="00D03F63" w:rsidRPr="00D03F63" w:rsidRDefault="00D03F63" w:rsidP="00D03F63">
      <w:pPr>
        <w:tabs>
          <w:tab w:val="left" w:pos="993"/>
        </w:tabs>
      </w:pPr>
    </w:p>
    <w:p w14:paraId="35D89378" w14:textId="6024F2B4" w:rsidR="00D03F63" w:rsidRPr="00D03F63" w:rsidRDefault="00D03F63" w:rsidP="00D03F63">
      <w:pPr>
        <w:tabs>
          <w:tab w:val="left" w:pos="993"/>
        </w:tabs>
      </w:pPr>
      <w:r w:rsidRPr="00D03F63">
        <w:t xml:space="preserve">Use of rosemary extract may provide an alternative to antioxidants such as butylated hydroxytoluene (BHT) and butylated hydroxyanisole (BHA) which are used widely in meats, fats and oils </w:t>
      </w:r>
      <w:r w:rsidRPr="00D03F63">
        <w:fldChar w:fldCharType="begin"/>
      </w:r>
      <w:r w:rsidR="002F200C">
        <w:instrText>ADDIN CITAVI.PLACEHOLDER 55a74c0f-fadb-4808-9e4e-1b171748ddba PFBsYWNlaG9sZGVyPg0KICA8QWRkSW5WZXJzaW9uPjUuNS4wLjE8L0FkZEluVmVyc2lvbj4NCiAgPElkPjU1YTc0YzBmLWZhZGItNDgwOC05ZTRlLTFiMTcxNzQ4ZGRiYTwvSWQ+DQogIDxFbnRyaWVzPg0KICAgIDxFbnRyeT4NCiAgICAgIDxJZD5kNjNhOTM1Ni0yZDVjLTQ0MmEtODI3Ni1lYjI3N2UxYWNiYTc8L0lkPg0KICAgICAgPFJlZmVyZW5jZUlkPjgzNGEzMWYxLTY5MGItNDNkYi05MWE4LTI2YzVjNTEyZmRmM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TcOhcmNpbzwvRmlyc3ROYW1lPg0KICAgICAgICAgICAgPExhc3ROYW1lPkNhcm9jaG88L0xhc3ROYW1lPg0KICAgICAgICAgIDwvUGVyc29uPg0KICAgICAgICAgIDxQZXJzb24+DQogICAgICAgICAgICA8Rmlyc3ROYW1lPlBhdHJpY2lhPC9GaXJzdE5hbWU+DQogICAgICAgICAgICA8TGFzdE5hbWU+TW9yYWxlczwvTGFzdE5hbWU+DQogICAgICAgICAgICA8U2V4PkZlbWFsZTwvU2V4Pg0KICAgICAgICAgIDwvUGVyc29uPg0KICAgICAgICAgIDxQZXJzb24+DQogICAgICAgICAgICA8Rmlyc3ROYW1lPklzYWJlbDwvRmlyc3ROYW1lPg0KICAgICAgICAgICAgPExhc3ROYW1lPkZlcnJlaXJhPC9MYXN0TmFtZT4NCiAgICAgICAgICAgIDxNaWRkbGVOYW1lPkMuRi5SLjwvTWlkZGxlTmFtZT4NCiAgICAgICAgICAgIDxTZXg+RmVtYWxlPC9TZXg+DQogICAgICAgICAgPC9QZXJzb24+DQogICAgICAgIDwvQXV0aG9ycz4NCiAgICAgICAgPERhdGU+MS8wMS8yMDE4PC9EYXRlPg0KICAgICAgICA8RG9pPjEwLjEwMTYvai50aWZzLjIwMTcuMTEuMDA4PC9Eb2k+DQogICAgICAgIDxJZD44MzRhMzFmMS02OTBiLTQzZGItOTFhOC0yNmM1YzUxMmZkZjE8L0lkPg0KICAgICAgICA8TG9jYXRpb25zPg0KICAgICAgICAgIDxMb2NhdGlvbj4NCiAgICAgICAgICAgIDxBZGRyZXNzPmh0dHBzOi8vZG9pLm9yZy8xMC4xMDE2L2oudGlmcy4yMDE3LjExLjAwODwvQWRkcmVzcz4NCiAgICAgICAgICAgIDxMb2NhdGlvblR5cGU+RWxlY3Ryb25pY0FkZHJlc3M8L0xvY2F0aW9uVHlwZT4NCiAgICAgICAgICA8L0xvY2F0aW9uPg0KICAgICAgICAgIDxMb2NhdGlvbj4NCiAgICAgICAgICAgIDxBZGRyZXNzPmh0dHA6Ly93d3cuc2NpZW5jZWRpcmVjdC5jb20vc2NpZW5jZS9hcnRpY2xlL3BpaS9TMDkyNDIyNDQxNzMwNjU2ODwvQWRkcmVzcz4NCiAgICAgICAgICAgIDxMb2NhdGlvblR5cGU+RWxlY3Ryb25pY0FkZHJlc3M8L0xvY2F0aW9uVHlwZT4NCiAgICAgICAgICA8L0xvY2F0aW9uPg0KICAgICAgICA8L0xvY2F0aW9ucz4NCiAgICAgICAgPFBhZ2VSYW5nZT48IVtDREFUQVs8c3A+DQogIDxuPjEwNzwvbj4NCiAgPGluPnRydWU8L2luPg0KICA8b3M+MTA3PC9vcz4NCiAgPHBzPjEwNzwvcHM+DQo8L3NwPg0KPGVwPg0KICA8bj4xMjA8L24+DQogIDxpbj50cnVlPC9pbj4NCiAgPG9zPjEyMDwvb3M+DQogIDxwcz4xMjA8L3BzPg0KPC9lcD4NCjxvcz4xMDctMTIwPC9vcz5dXT48L1BhZ2VSYW5nZT4NCiAgICAgICAgPEVuZFBhZ2U+MTIwPC9FbmRQYWdlPg0KICAgICAgICA8U3RhcnRQYWdlPjEwNzwvU3RhcnRQYWdlPg0KICAgICAgICA8UGVyaW9kaWNhbD4NCiAgICAgICAgICA8SXNzbj4wOTI0LTIyNDQ8L0lzc24+DQogICAgICAgICAgPE5hbWU+VHJlbmRzIGluIEZvb2QgU2NpZW5jZSAmYW1wOyBUZWNobm9sb2d5PC9OYW1lPg0KICAgICAgICA8L1BlcmlvZGljYWw+DQogICAgICAgIDxTZXF1ZW5jZU51bWJlcj43PC9TZXF1ZW5jZU51bWJlcj4NCiAgICAgICAgPFNob3J0VGl0bGU+Q2Fyb2NobywgTW9yYWxlcyBldCBhbC4gMjAxOCDigJMgQW50aW94aWRhbnRzPC9TaG9ydFRpdGxlPg0KICAgICAgICA8U291cmNlT2ZCaWJsaW9ncmFwaGljSW5mb3JtYXRpb24+UklTPC9Tb3VyY2VPZkJpYmxpb2dyYXBoaWNJbmZvcm1hdGlvbj4NCiAgICAgICAgPFN1YnRpdGxlPlJldmlld2luZyB0aGUgY2hlbWlzdHJ5LCBmb29kIGFwcGxpY2F0aW9ucywgbGVnaXNsYXRpb24gYW5kIHJvbGUgYXMgcHJlc2VydmF0aXZlczwvU3VidGl0bGU+DQogICAgICAgIDxUaXRsZT5BbnRpb3hpZGFudHM8L1RpdGxlPg0KICAgICAgICA8Vm9sdW1lPjcxPC9Wb2x1bWU+DQogICAgICAgIDxZZWFyPjIwMTg8L1llYXI+DQogICAgICA8L1JlZmVyZW5jZT4NCiAgICA8L0VudHJ5Pg0KICA8L0VudHJpZXM+DQogIDxUZXh0PihDYXJvY2hvIGV0IGFsL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yb2NobyBldCBhbC4gMjAxOCk8L1RleHQ+DQogICAgPC9UZXh0VW5pdD4NCiAgPC9UZXh0VW5pdHM+DQo8L1BsYWNlaG9sZGVyPg==</w:instrText>
      </w:r>
      <w:r w:rsidRPr="00D03F63">
        <w:fldChar w:fldCharType="separate"/>
      </w:r>
      <w:bookmarkStart w:id="38" w:name="_CTVP00155a74c0ffadb48089e4e1b171748ddba"/>
      <w:r w:rsidR="002F200C">
        <w:t>(Carocho et al. 2018)</w:t>
      </w:r>
      <w:bookmarkEnd w:id="38"/>
      <w:r w:rsidRPr="00D03F63">
        <w:fldChar w:fldCharType="end"/>
      </w:r>
      <w:r w:rsidRPr="00D03F63">
        <w:t xml:space="preserve">. Several efficacy studies cited in the application reported that rosemary extract was more effective than BHA and BHT in stabilising oxygen-sensitive foods. </w:t>
      </w:r>
    </w:p>
    <w:p w14:paraId="509E3949" w14:textId="53ED3D8B" w:rsidR="00D03F63" w:rsidRPr="00D03F63" w:rsidRDefault="00D03F63" w:rsidP="00DF662D">
      <w:pPr>
        <w:pStyle w:val="Heading2"/>
      </w:pPr>
      <w:bookmarkStart w:id="39" w:name="_Toc516056524"/>
      <w:bookmarkStart w:id="40" w:name="_Toc517709870"/>
      <w:bookmarkStart w:id="41" w:name="_Toc518388270"/>
      <w:bookmarkStart w:id="42" w:name="_Toc526498359"/>
      <w:r w:rsidRPr="00D03F63">
        <w:lastRenderedPageBreak/>
        <w:t>2.2</w:t>
      </w:r>
      <w:r w:rsidRPr="00D03F63">
        <w:tab/>
        <w:t>Chemical properties</w:t>
      </w:r>
      <w:bookmarkEnd w:id="39"/>
      <w:bookmarkEnd w:id="40"/>
      <w:bookmarkEnd w:id="41"/>
      <w:bookmarkEnd w:id="42"/>
      <w:r w:rsidRPr="00D03F63">
        <w:t xml:space="preserve"> </w:t>
      </w:r>
    </w:p>
    <w:p w14:paraId="6108856D" w14:textId="035373D8" w:rsidR="00D03F63" w:rsidRPr="00D03F63" w:rsidRDefault="00D03F63" w:rsidP="00D03F63">
      <w:r w:rsidRPr="00D03F63">
        <w:t xml:space="preserve">Antioxidants work by reacting with oxygen or oxygen-containing reactive molecules such as radicals formed in lipid peroxidation </w:t>
      </w:r>
      <w:r w:rsidRPr="00D03F63">
        <w:fldChar w:fldCharType="begin"/>
      </w:r>
      <w:r w:rsidRPr="00D03F63">
        <w:instrText>ADDIN CITAVI.PLACEHOLDER ae0112dd-33c5-4036-acad-5e43a9686df6 PFBsYWNlaG9sZGVyPg0KICA8QWRkSW5WZXJzaW9uPjUuNS4wLjE8L0FkZEluVmVyc2lvbj4NCiAgPElkPmFlMDExMmRkLTMzYzUtNDAzNi1hY2FkLTVlNDNhOTY4NmRmNjwvSWQ+DQogIDxFbnRyaWVzPg0KICAgIDxFbnRyeT4NCiAgICAgIDxJZD40M2JjMTRmMC1iOGQ4LTQ4YTYtYTNmZC05MjI4NDY0M2I4Y2I8L0lkPg0KICAgICAgPFJlZmVyZW5jZUlkPjY4MDk5NWE1LWI1MDgtNGQxYi1iYmYxLTJlNjNkZGIxMDQ5N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mVyZWlkb29uPC9GaXJzdE5hbWU+DQogICAgICAgICAgICA8TGFzdE5hbWU+U2hhaGlkaTwvTGFzdE5hbWU+DQogICAgICAgICAgPC9QZXJzb24+DQogICAgICAgICAgPFBlcnNvbj4NCiAgICAgICAgICAgIDxGaXJzdE5hbWU+UC48L0ZpcnN0TmFtZT4NCiAgICAgICAgICAgIDxMYXN0TmFtZT5KYW5pdGhhPC9MYXN0TmFtZT4NCiAgICAgICAgICAgIDxNaWRkbGVOYW1lPksuPC9NaWRkbGVOYW1lPg0KICAgICAgICAgIDwvUGVyc29uPg0KICAgICAgICAgIDxQZXJzb24+DQogICAgICAgICAgICA8Rmlyc3ROYW1lPlAuPC9GaXJzdE5hbWU+DQogICAgICAgICAgICA8TGFzdE5hbWU+V2FuYXN1bmRhcmE8L0xhc3ROYW1lPg0KICAgICAgICAgICAgPE1pZGRsZU5hbWU+RC48L01pZGRsZU5hbWU+DQogICAgICAgICAgPC9QZXJzb24+DQogICAgICAgIDwvQXV0aG9ycz4NCiAgICAgICAgPERhdGU+MS8wMS8xOTkyPC9EYXRlPg0KICAgICAgICA8RG9pPjEwLjEwODAvMTA0MDgzOTkyMDk1Mjc1ODE8L0RvaT4NCiAgICAgICAgPElkPjY4MDk5NWE1LWI1MDgtNGQxYi1iYmYxLTJlNjNkZGIxMDQ5NjwvSWQ+DQogICAgICAgIDxMb2NhdGlvbnM+DQogICAgICAgICAgPExvY2F0aW9uPg0KICAgICAgICAgICAgPEFkZHJlc3M+MTAuMTA4MC8xMDQwODM5OTIwOTUyNzU4MTwvQWRkcmVzcz4NCiAgICAgICAgICAgIDxMb2NhdGlvblR5cGU+RWxlY3Ryb25pY0FkZHJlc3M8L0xvY2F0aW9uVHlwZT4NCiAgICAgICAgICA8L0xvY2F0aW9uPg0KICAgICAgICAgIDxMb2NhdGlvbj4NCiAgICAgICAgICAgIDxBZGRyZXNzPmh0dHBzOi8vZG9pLm9yZy8xMC4xMDgwLzEwNDA4Mzk5MjA5NTI3NTgxPC9BZGRyZXNzPg0KICAgICAgICAgICAgPExvY2F0aW9uVHlwZT5FbGVjdHJvbmljQWRkcmVzczwvTG9jYXRpb25UeXBlPg0KICAgICAgICAgIDwvTG9jYXRpb24+DQogICAgICAgIDwvTG9jYXRpb25zPg0KICAgICAgICA8Tm90ZXM+ZG9pOiAxMC4xMDgwLzEwNDA4Mzk5MjA5NTI3NTgxDQpkb2k6IDEwLjEwODAvMTA0MDgzOTkyMDk1Mjc1ODE8L05vdGVzPg0KICAgICAgICA8TnVtYmVyPjE8L051bWJlcj4NCiAgICAgICAgPFBhZ2VSYW5nZT48IVtDREFUQVs8c3A+DQogIDxuPjY3PC9uPg0KICA8aW4+dHJ1ZTwvaW4+DQogIDxvcz42Nzwvb3M+DQogIDxwcz42NzwvcHM+DQo8L3NwPg0KPGVwPg0KICA8bj4xMDM8L24+DQogIDxpbj50cnVlPC9pbj4NCiAgPG9zPjEwMzwvb3M+DQogIDxwcz4xMDM8L3BzPg0KPC9lcD4NCjxvcz42Ny0xMDM8L29zPl1dPjwvUGFnZVJhbmdlPg0KICAgICAgICA8RW5kUGFnZT4xMDM8L0VuZFBhZ2U+DQogICAgICAgIDxTdGFydFBhZ2U+Njc8L1N0YXJ0UGFnZT4NCiAgICAgICAgPFBlcmlvZGljYWw+DQogICAgICAgICAgPElzc24+MTA0MC04Mzk4PC9Jc3NuPg0KICAgICAgICAgIDxOYW1lPkNyaXRpY2FsIFJldmlld3MgaW4gRm9vZCBTY2llbmNlIGFuZCBOdXRyaXRpb248L05hbWU+DQogICAgICAgIDwvUGVyaW9kaWNhbD4NCiAgICAgICAgPFB1Ymxpc2hlcnM+DQogICAgICAgICAgPFB1Ymxpc2hlcj4NCiAgICAgICAgICAgIDxOYW1lPlRheWxvciAmYW1wOyBGcmFuY2lzPC9OYW1lPg0KICAgICAgICAgIDwvUHVibGlzaGVyPg0KICAgICAgICA8L1B1Ymxpc2hlcnM+DQogICAgICAgIDxTZXF1ZW5jZU51bWJlcj41PC9TZXF1ZW5jZU51bWJlcj4NCiAgICAgICAgPFNob3J0VGl0bGU+U2hhaGlkaSwgSmFuaXRoYSBldCBhbC4gMTk5MiDigJMgUGhlbm9saWMgYW50aW94aWRhbnRzPC9TaG9ydFRpdGxlPg0KICAgICAgICA8U291cmNlT2ZCaWJsaW9ncmFwaGljSW5mb3JtYXRpb24+UklTPC9Tb3VyY2VPZkJpYmxpb2dyYXBoaWNJbmZvcm1hdGlvbj4NCiAgICAgICAgPFRpdGxlPlBoZW5vbGljIGFudGlveGlkYW50czwvVGl0bGU+DQogICAgICAgIDxWb2x1bWU+MzI8L1ZvbHVtZT4NCiAgICAgICAgPFllYXI+MTk5MjwvWWVhcj4NCiAgICAgIDwvUmVmZXJlbmNlPg0KICAgIDwvRW50cnk+DQogIDwvRW50cmllcz4NCiAgPFRleHQ+KFNoYWhpZGkgZXQgYWwuIDE5O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aGFoaWRpIGV0IGFsLiAxOTkyKTwvVGV4dD4NCiAgICA8L1RleHRVbml0Pg0KICA8L1RleHRVbml0cz4NCjwvUGxhY2Vob2xkZXI+</w:instrText>
      </w:r>
      <w:r w:rsidRPr="00D03F63">
        <w:fldChar w:fldCharType="separate"/>
      </w:r>
      <w:bookmarkStart w:id="43" w:name="_CTVP001ae0112dd33c54036acad5e43a9686df6"/>
      <w:r w:rsidR="002F200C">
        <w:t>(Shahidi et al. 1992)</w:t>
      </w:r>
      <w:bookmarkEnd w:id="43"/>
      <w:r w:rsidRPr="00D03F63">
        <w:fldChar w:fldCharType="end"/>
      </w:r>
      <w:r w:rsidRPr="00D03F63">
        <w:t xml:space="preserve">. In the process the antioxidant becomes oxidised and the degradation of the reactive food component (such as a lipid) is inhibited </w:t>
      </w:r>
      <w:r w:rsidRPr="00D03F63">
        <w:fldChar w:fldCharType="begin"/>
      </w:r>
      <w:r w:rsidRPr="00D03F63">
        <w:instrText>ADDIN CITAVI.PLACEHOLDER 5d82dbe9-e1cb-4df3-b8ae-f1708466ea7f PFBsYWNlaG9sZGVyPg0KICA8QWRkSW5WZXJzaW9uPjUuNS4wLjE8L0FkZEluVmVyc2lvbj4NCiAgPElkPjVkODJkYmU5LWUxY2ItNGRmMy1iOGFlLWYxNzA4NDY2ZWE3ZjwvSWQ+DQogIDxFbnRyaWVzPg0KICAgIDxFbnRyeT4NCiAgICAgIDxJZD5iNjcyMTcxYS04YjM1LTRhYmUtYTFiMi1jZWY3YTQyODhiMmE8L0lkPg0KICAgICAgPFJlZmVyZW5jZUlkPjliYTBjYzhiLTg4M2YtNDZlOC04ODI4LWE1NzFmNTMxYzU4ODwvUmVmZXJlbmNlSWQ+DQogICAgICA8UmFuZ2U+DQogICAgICAgIDxTdGFydD4wPC9TdGFydD4NCiAgICAgICAgPExlbmd0aD4xMjwvTGVuZ3RoPg0KICAgICAgPC9SYW5nZT4NCiAgICAgIDxSZWZlcmVuY2U+DQogICAgICAgIDxSZWZlcmVuY2VUeXBlSWQ+Sm91cm5hbEFydGljbGU8L1JlZmVyZW5jZVR5cGVJZD4NCiAgICAgICAgPEF1dGhvcnM+DQogICAgICAgICAgPFBlcnNvbj4NCiAgICAgICAgICAgIDxGaXJzdE5hbWU+Si48L0ZpcnN0TmFtZT4NCiAgICAgICAgICAgIDxMYXN0TmFtZT5DaGVuZzwvTGFzdE5hbWU+DQogICAgICAgICAgICA8TWlkZGxlTmFtZT5ILjwvTWlkZGxlTmFtZT4NCiAgICAgICAgICA8L1BlcnNvbj4NCiAgICAgICAgPC9BdXRob3JzPg0KICAgICAgICA8SWQ+OWJhMGNjOGItODgzZi00NmU4LTg4MjgtYTU3MWY1MzFjNTg4PC9JZD4NCiAgICAgICAgPExvY2F0aW9ucz4NCiAgICAgICAgICA8TG9jYXRpb24+DQogICAgICAgICAgICA8QWRkcmVzcz5odHRwczovL3d3dy5vbWljc29ubGluZS5vcmcvb3Blbi1hY2Nlc3MvbGlwaWQtb3hpZGF0aW9uLWluLW1lYXQtMjE1NS05NjAwLTEwMDA0OTQucGhwP2FpZD03MjcwMTwvQWRkcmVzcz4NCiAgICAgICAgICAgIDxMb2NhdGlvblR5cGU+RWxlY3Ryb25pY0FkZHJlc3M8L0xvY2F0aW9uVHlwZT4NCiAgICAgICAgICA8L0xvY2F0aW9uPg0KICAgICAgICA8L0xvY2F0aW9ucz4NCiAgICAgICAgPE51bWJlcj42PC9OdW1iZXI+DQogICAgICAgIDxPbmxpbmVBZGRyZXNzPmh0dHBzOi8vd3d3Lm9taWNzb25saW5lLm9yZy9vcGVuLWFjY2Vzcy9saXBpZC1veGlkYXRpb24taW4tbWVhdC0yMTU1LTk2MDAtMTAwMDQ5NC5waHA/YWlkPTcyNzAxPC9PbmxpbmVBZGRyZXNzPg0KICAgICAgICA8UGFnZVJhbmdlPjwhW0NEQVRBWzxzcD4NCiAgPG4+NDk0PC9uPg0KICA8aW4+dHJ1ZTwvaW4+DQogIDxvcz40OTQ8L29zPg0KICA8cHM+NDk0PC9wcz4NCjwvc3A+DQo8b3M+NDk0PC9vcz5dXT48L1BhZ2VSYW5nZT4NCiAgICAgICAgPFN0YXJ0UGFnZT40OTQ8L1N0YXJ0UGFnZT4NCiAgICAgICAgPFBlcmlvZGljYWw+DQogICAgICAgICAgPE5hbWU+SiBOdXRyIEZvb2QgU2NpPC9OYW1lPg0KICAgICAgICA8L1BlcmlvZGljYWw+DQogICAgICAgIDxTZXF1ZW5jZU51bWJlcj4xNjwvU2VxdWVuY2VOdW1iZXI+DQogICAgICAgIDxTaG9ydFRpdGxlPkNoZW5nIDIwMTYg4oCTIExpcGlkIG94aWRhdGlvbiBpbiBtZWF0PC9TaG9ydFRpdGxlPg0KICAgICAgICA8U291cmNlT2ZCaWJsaW9ncmFwaGljSW5mb3JtYXRpb24+RW5kTm90ZSBUYWdnZWQgSW1wb3J0IEZvcm1hdDwvU291cmNlT2ZCaWJsaW9ncmFwaGljSW5mb3JtYXRpb24+DQogICAgICAgIDxUaXRsZT5MaXBpZCBveGlkYXRpb24gaW4gbWVhdDwvVGl0bGU+DQogICAgICAgIDxWb2x1bWU+NjwvVm9sdW1lPg0KICAgICAgICA8WWVhcj4yMDE2PC9ZZWFyPg0KICAgICAgPC9SZWZlcmVuY2U+DQogICAgPC9FbnRyeT4NCiAgPC9FbnRyaWVzPg0KICA8VGV4dD4oQ2hlbmc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ZW5nIDIwMTYpPC9UZXh0Pg0KICAgIDwvVGV4dFVuaXQ+DQogIDwvVGV4dFVuaXRzPg0KPC9QbGFjZWhvbGRlcj4=</w:instrText>
      </w:r>
      <w:r w:rsidRPr="00D03F63">
        <w:fldChar w:fldCharType="separate"/>
      </w:r>
      <w:bookmarkStart w:id="44" w:name="_CTVP0015d82dbe9e1cb4df3b8aef1708466ea7f"/>
      <w:r w:rsidR="002F200C">
        <w:t>(Cheng 2016)</w:t>
      </w:r>
      <w:bookmarkEnd w:id="44"/>
      <w:r w:rsidRPr="00D03F63">
        <w:fldChar w:fldCharType="end"/>
      </w:r>
      <w:r w:rsidRPr="00D03F63">
        <w:t xml:space="preserve">. </w:t>
      </w:r>
    </w:p>
    <w:p w14:paraId="1EF3939F" w14:textId="77777777" w:rsidR="00D03F63" w:rsidRPr="00D03F63" w:rsidRDefault="00D03F63" w:rsidP="00D03F63"/>
    <w:p w14:paraId="0172F942" w14:textId="74733200" w:rsidR="00D03F63" w:rsidRPr="00D03F63" w:rsidRDefault="00D03F63" w:rsidP="00D03F63">
      <w:r w:rsidRPr="00D03F63">
        <w:t xml:space="preserve">Carnosol and carnosic acid are phenol-containing antioxidants for which the mechanism of action is well-characterised. The substances are known to have the strongest potency compared to other phenols in rosemary leaves and have comparable potency to the antioxidants BHT and BHA </w:t>
      </w:r>
      <w:r w:rsidR="00522CDD">
        <w:fldChar w:fldCharType="begin"/>
      </w:r>
      <w:r w:rsidR="00522CDD">
        <w:instrText>ADDIN CITAVI.PLACEHOLDER 17105afa-679e-44bc-b95b-55041df9f531 PFBsYWNlaG9sZGVyPg0KICA8QWRkSW5WZXJzaW9uPjUuNS4wLjE8L0FkZEluVmVyc2lvbj4NCiAgPElkPjE3MTA1YWZhLTY3OWUtNDRiYy1iOTViLTU1MDQxZGY5ZjUzMTwvSWQ+DQogIDxFbnRyaWVzPg0KICAgIDxFbnRyeT4NCiAgICAgIDxJZD43NzdhNjUyMS0xMTc1LTQ4MjItOWE1Yy02MzIzNjQ4ZTkxNzc8L0lkPg0KICAgICAgPFJlZmVyZW5jZUlkPjBiNjY3YzJlLWM3YmYtNGI2NS1hMjNmLWNkYjI4Y2Q5NmFjNDwvUmVmZXJlbmNlSWQ+DQogICAgICA8UmFuZ2U+DQogICAgICAgIDxTdGFydD4yMDwvU3RhcnQ+DQogICAgICAgIDxMZW5ndGg+MjQ8L0xlbmd0aD4NCiAgICAgIDwvUmFuZ2U+DQogICAgICA8UmVmZXJlbmNlPg0KICAgICAgICA8UmVmZXJlbmNlVHlwZUlkPkpvdXJuYWxBcnRpY2xlPC9SZWZlcmVuY2VUeXBlSWQ+DQogICAgICAgIDxBdXRob3JzPg0KICAgICAgICAgIDxQZXJzb24+DQogICAgICAgICAgICA8Rmlyc3ROYW1lPlN0ZXZlbjwvRmlyc3ROYW1lPg0KICAgICAgICAgICAgPExhc3ROYW1lPlJpY2hoZWltZXI8L0xhc3ROYW1lPg0KICAgICAgICAgICAgPE1pZGRsZU5hbWU+TC48L01pZGRsZU5hbWU+DQogICAgICAgICAgICA8U2V4Pk1hbGU8L1NleD4NCiAgICAgICAgICA8L1BlcnNvbj4NCiAgICAgICAgICA8UGVyc29uPg0KICAgICAgICAgICAgPEZpcnN0TmFtZT5NYXR0aGV3PC9GaXJzdE5hbWU+DQogICAgICAgICAgICA8TGFzdE5hbWU+QmVybmFydDwvTGFzdE5hbWU+DQogICAgICAgICAgICA8TWlkZGxlTmFtZT5XLjwvTWlkZGxlTmFtZT4NCiAgICAgICAgICAgIDxTZXg+TWFsZTwvU2V4Pg0KICAgICAgICAgIDwvUGVyc29uPg0KICAgICAgICAgIDxQZXJzb24+DQogICAgICAgICAgICA8Rmlyc3ROYW1lPkdyZWc8L0ZpcnN0TmFtZT4NCiAgICAgICAgICAgIDxMYXN0TmFtZT5LaW5nPC9MYXN0TmFtZT4NCiAgICAgICAgICAgIDxNaWRkbGVOYW1lPkEuPC9NaWRkbGVOYW1lPg0KICAgICAgICAgICAgPFNleD5NYWxlPC9TZXg+DQogICAgICAgICAgPC9QZXJzb24+DQogICAgICAgICAgPFBlcnNvbj4NCiAgICAgICAgICAgIDxGaXJzdE5hbWU+TWljaGFlbDwvRmlyc3ROYW1lPg0KICAgICAgICAgICAgPExhc3ROYW1lPktlbnQ8L0xhc3ROYW1lPg0KICAgICAgICAgICAgPE1pZGRsZU5hbWU+Qy48L01pZGRsZU5hbWU+DQogICAgICAgICAgICA8U2V4Pk1hbGU8L1NleD4NCiAgICAgICAgICA8L1BlcnNvbj4NCiAgICAgICAgICA8UGVyc29uPg0KICAgICAgICAgICAgPEZpcnN0TmFtZT5EYXZpZDwvRmlyc3ROYW1lPg0KICAgICAgICAgICAgPExhc3ROYW1lPkJlaWxleTwvTGFzdE5hbWU+DQogICAgICAgICAgICA8TWlkZGxlTmFtZT5ULjwvTWlkZGxlTmFtZT4NCiAgICAgICAgICAgIDxTZXg+TWFsZTwvU2V4Pg0KICAgICAgICAgIDwvUGVyc29uPg0KICAgICAgICA8L0F1dGhvcnM+DQogICAgICAgIDxEYXRlPjEvMDQvMTk5NjwvRGF0ZT4NCiAgICAgICAgPERvaT4xMC4xMDA3L0JGMDI1MjM5Mjc8L0RvaT4NCiAgICAgICAgPElkPjBiNjY3YzJlLWM3YmYtNGI2NS1hMjNmLWNkYjI4Y2Q5NmFjNDwvSWQ+DQogICAgICAgIDxMb2NhdGlvbnM+DQogICAgICAgICAgPExvY2F0aW9uPg0KICAgICAgICAgICAgPEFkZHJlc3M+aHR0cHM6Ly9kb2kub3JnLzEwLjEwMDcvQkYwMjUyMzkyNzwvQWRkcmVzcz4NCiAgICAgICAgICAgIDxMb2NhdGlvblR5cGU+RWxlY3Ryb25pY0FkZHJlc3M8L0xvY2F0aW9uVHlwZT4NCiAgICAgICAgICA8L0xvY2F0aW9uPg0KICAgICAgICAgIDxMb2NhdGlvbj4NCiAgICAgICAgICAgIDxBZGRyZXNzPjEwLjEwMDcvQkYwMjUyMzkyNzwvQWRkcmVzcz4NCiAgICAgICAgICAgIDxMb2NhdGlvblR5cGU+RWxlY3Ryb25pY0FkZHJlc3M8L0xvY2F0aW9uVHlwZT4NCiAgICAgICAgICA8L0xvY2F0aW9uPg0KICAgICAgICA8L0xvY2F0aW9ucz4NCiAgICAgICAgPE51bWJlcj40PC9OdW1iZXI+DQogICAgICAgIDxQYWdlUmFuZ2U+PCFbQ0RBVEFbPHNwPg0KICA8bj41MDc8L24+DQogIDxpbj50cnVlPC9pbj4NCiAgPG9zPjUwNzwvb3M+DQogIDxwcz41MDc8L3BzPg0KPC9zcD4NCjxlcD4NCiAgPG4+NTE0PC9uPg0KICA8aW4+dHJ1ZTwvaW4+DQogIDxvcz41MTQ8L29zPg0KICA8cHM+NTE0PC9wcz4NCjwvZXA+DQo8b3M+NTA34oCTNTE0PC9vcz5dXT48L1BhZ2VSYW5nZT4NCiAgICAgICAgPEVuZFBhZ2U+NTE0PC9FbmRQYWdlPg0KICAgICAgICA8U3RhcnRQYWdlPjUwNzwvU3RhcnRQYWdlPg0KICAgICAgICA8UGVyaW9kaWNhbD4NCiAgICAgICAgICA8SXNzbj4xNTU4LTkzMzE8L0lzc24+DQogICAgICAgICAgPE5hbWU+Sm91cm5hbCBvZiB0aGUgQW1lcmljYW4gT2lsIENoZW1pc3Rz4oCZIFNvY2lldHk8L05hbWU+DQogICAgICAgIDwvUGVyaW9kaWNhbD4NCiAgICAgICAgPFNob3J0VGl0bGU+UmljaGhlaW1lciwgQmVybmFydCBldCBhbC4gMTk5NiDigJMgQW50aW94aWRhbnQgYWN0aXZpdHkgb2YgbGlwaWQtc29sdWJsZSBwaGVub2xpYzwvU2hvcnRUaXRsZT4NCiAgICAgICAgPFNvdXJjZU9mQmlibGlvZ3JhcGhpY0luZm9ybWF0aW9uPlJJUzwvU291cmNlT2ZCaWJsaW9ncmFwaGljSW5mb3JtYXRpb24+DQogICAgICAgIDxUaXRsZT5BbnRpb3hpZGFudCBhY3Rpdml0eSBvZiBsaXBpZC1zb2x1YmxlIHBoZW5vbGljIGRpdGVycGVuZXMgZnJvbSByb3NlbWFyeTwvVGl0bGU+DQogICAgICAgIDxWb2x1bWU+NzM8L1ZvbHVtZT4NCiAgICAgICAgPFllYXI+MTk5NjwvWWVhcj4NCiAgICAgIDwvUmVmZXJlbmNlPg0KICAgIDwvRW50cnk+DQogICAgPEVudHJ5Pg0KICAgICAgPElkPjI4Nzk0ZDM3LTYzZTEtNGU2My1hMTU3LWNhODc4ODM1NzJjZDwvSWQ+DQogICAgICA8UmVmZXJlbmNlSWQ+NjgwOTk1YTUtYjUwOC00ZDFiLWJiZjEtMmU2M2RkYjEwNDk2PC9SZWZlcmVuY2VJZD4NCiAgICAgIDxSYW5nZT4NCiAgICAgICAgPFN0YXJ0PjA8L1N0YXJ0Pg0KICAgICAgICA8TGVuZ3RoPjIwPC9MZW5ndGg+DQogICAgICA8L1JhbmdlPg0KICAgICAgPFJlZmVyZW5jZT4NCiAgICAgICAgPFJlZmVyZW5jZVR5cGVJZD5Kb3VybmFsQXJ0aWNsZTwvUmVmZXJlbmNlVHlwZUlkPg0KICAgICAgICA8QXV0aG9ycz4NCiAgICAgICAgICA8UGVyc29uPg0KICAgICAgICAgICAgPEZpcnN0TmFtZT5GZXJlaWRvb248L0ZpcnN0TmFtZT4NCiAgICAgICAgICAgIDxMYXN0TmFtZT5TaGFoaWRpPC9MYXN0TmFtZT4NCiAgICAgICAgICA8L1BlcnNvbj4NCiAgICAgICAgICA8UGVyc29uPg0KICAgICAgICAgICAgPEZpcnN0TmFtZT5QLjwvRmlyc3ROYW1lPg0KICAgICAgICAgICAgPExhc3ROYW1lPkphbml0aGE8L0xhc3ROYW1lPg0KICAgICAgICAgICAgPE1pZGRsZU5hbWU+Sy48L01pZGRsZU5hbWU+DQogICAgICAgICAgPC9QZXJzb24+DQogICAgICAgICAgPFBlcnNvbj4NCiAgICAgICAgICAgIDxGaXJzdE5hbWU+UC48L0ZpcnN0TmFtZT4NCiAgICAgICAgICAgIDxMYXN0TmFtZT5XYW5hc3VuZGFyYTwvTGFzdE5hbWU+DQogICAgICAgICAgICA8TWlkZGxlTmFtZT5ELjwvTWlkZGxlTmFtZT4NCiAgICAgICAgICA8L1BlcnNvbj4NCiAgICAgICAgPC9BdXRob3JzPg0KICAgICAgICA8RGF0ZT4xLzAxLzE5OTI8L0RhdGU+DQogICAgICAgIDxEb2k+MTAuMTA4MC8xMDQwODM5OTIwOTUyNzU4MTwvRG9pPg0KICAgICAgICA8SWQ+NjgwOTk1YTUtYjUwOC00ZDFiLWJiZjEtMmU2M2RkYjEwNDk2PC9JZD4NCiAgICAgICAgPExvY2F0aW9ucz4NCiAgICAgICAgICA8TG9jYXRpb24+DQogICAgICAgICAgICA8QWRkcmVzcz4xMC4xMDgwLzEwNDA4Mzk5MjA5NTI3NTgxPC9BZGRyZXNzPg0KICAgICAgICAgICAgPExvY2F0aW9uVHlwZT5FbGVjdHJvbmljQWRkcmVzczwvTG9jYXRpb25UeXBlPg0KICAgICAgICAgIDwvTG9jYXRpb24+DQogICAgICAgICAgPExvY2F0aW9uPg0KICAgICAgICAgICAgPEFkZHJlc3M+aHR0cHM6Ly9kb2kub3JnLzEwLjEwODAvMTA0MDgzOTkyMDk1Mjc1ODE8L0FkZHJlc3M+DQogICAgICAgICAgICA8TG9jYXRpb25UeXBlPkVsZWN0cm9uaWNBZGRyZXNzPC9Mb2NhdGlvblR5cGU+DQogICAgICAgICAgPC9Mb2NhdGlvbj4NCiAgICAgICAgPC9Mb2NhdGlvbnM+DQogICAgICAgIDxOb3Rlcz5kb2k6IDEwLjEwODAvMTA0MDgzOTkyMDk1Mjc1ODENCmRvaTogMTAuMTA4MC8xMDQwODM5OTIwOTUyNzU4MTwvTm90ZXM+DQogICAgICAgIDxOdW1iZXI+MTwvTnVtYmVyPg0KICAgICAgICA8UGFnZVJhbmdlPjwhW0NEQVRBWzxzcD4NCiAgPG4+Njc8L24+DQogIDxpbj50cnVlPC9pbj4NCiAgPG9zPjY3PC9vcz4NCiAgPHBzPjY3PC9wcz4NCjwvc3A+DQo8ZXA+DQogIDxuPjEwMzwvbj4NCiAgPGluPnRydWU8L2luPg0KICA8b3M+MTAzPC9vcz4NCiAgPHBzPjEwMzwvcHM+DQo8L2VwPg0KPG9zPjY3LTEwMzwvb3M+XV0+PC9QYWdlUmFuZ2U+DQogICAgICAgIDxFbmRQYWdlPjEwMzwvRW5kUGFnZT4NCiAgICAgICAgPFN0YXJ0UGFnZT42NzwvU3RhcnRQYWdlPg0KICAgICAgICA8UGVyaW9kaWNhbD4NCiAgICAgICAgICA8SXNzbj4xMDQwLTgzOTg8L0lzc24+DQogICAgICAgICAgPE5hbWU+Q3JpdGljYWwgUmV2aWV3cyBpbiBGb29kIFNjaWVuY2UgYW5kIE51dHJpdGlvbjwvTmFtZT4NCiAgICAgICAgPC9QZXJpb2RpY2FsPg0KICAgICAgICA8UHVibGlzaGVycz4NCiAgICAgICAgICA8UHVibGlzaGVyPg0KICAgICAgICAgICAgPE5hbWU+VGF5bG9yICZhbXA7IEZyYW5jaXM8L05hbWU+DQogICAgICAgICAgPC9QdWJsaXNoZXI+DQogICAgICAgIDwvUHVibGlzaGVycz4NCiAgICAgICAgPFNlcXVlbmNlTnVtYmVyPjU8L1NlcXVlbmNlTnVtYmVyPg0KICAgICAgICA8U2hvcnRUaXRsZT5TaGFoaWRpLCBKYW5pdGhhIGV0IGFsLiAxOTkyIOKAkyBQaGVub2xpYyBhbnRpb3hpZGFudHM8L1Nob3J0VGl0bGU+DQogICAgICAgIDxTb3VyY2VPZkJpYmxpb2dyYXBoaWNJbmZvcm1hdGlvbj5SSVM8L1NvdXJjZU9mQmlibGlvZ3JhcGhpY0luZm9ybWF0aW9uPg0KICAgICAgICA8VGl0bGU+UGhlbm9saWMgYW50aW94aWRhbnRzPC9UaXRsZT4NCiAgICAgICAgPFZvbHVtZT4zMjwvVm9sdW1lPg0KICAgICAgICA8WWVhcj4xOTkyPC9ZZWFyPg0KICAgICAgPC9SZWZlcmVuY2U+DQogICAgPC9FbnRyeT4NCiAgICA8RW50cnk+DQogICAgICA8SWQ+MDFhNzc0MzQtZDcwZi00NjdhLWEwZDYtODJmYjRjNGY2ZDY2PC9JZD4NCiAgICAgIDxSZWZlcmVuY2VJZD41NzhkZjFiYi1lN2M0LTQ4MmItODJjOS05YjllMDhhNTJiMDc8L1JlZmVyZW5jZUlkPg0KICAgICAgPFJhbmdlPg0KICAgICAgICA8U3RhcnQ+NDQ8L1N0YXJ0Pg0KICAgICAgICA8TGVuZ3RoPjIxPC9MZW5ndGg+DQogICAgICA8L1JhbmdlPg0KICAgICAgPFJlZmVyZW5jZT4NCiAgICAgICAgPFJlZmVyZW5jZVR5cGVJZD5Kb3VybmFsQXJ0aWNsZTwvUmVmZXJlbmNlVHlwZUlkPg0KICAgICAgICA8QXV0aG9ycz4NCiAgICAgICAgICA8UGVyc29uPg0KICAgICAgICAgICAgPEZpcnN0TmFtZT5Ub3NoaXlhPC9GaXJzdE5hbWU+DQogICAgICAgICAgICA8TGFzdE5hbWU+TWFzdWRhPC9MYXN0TmFtZT4NCiAgICAgICAgICA8L1BlcnNvbj4NCiAgICAgICAgICA8UGVyc29uPg0KICAgICAgICAgICAgPEZpcnN0TmFtZT5ZdXp1cnU8L0ZpcnN0TmFtZT4NCiAgICAgICAgICAgIDxMYXN0TmFtZT5JbmFiYTwvTGFzdE5hbWU+DQogICAgICAgICAgPC9QZXJzb24+DQogICAgICAgICAgPFBlcnNvbj4NCiAgICAgICAgICAgIDxGaXJzdE5hbWU+WW9zaGlvPC9GaXJzdE5hbWU+DQogICAgICAgICAgICA8TGFzdE5hbWU+VGFrZWRhPC9MYXN0TmFtZT4NCiAgICAgICAgICA8L1BlcnNvbj4NCiAgICAgICAgPC9BdXRob3JzPg0KICAgICAgICA8RGF0ZT4xLzExLzIwMDE8L0RhdGU+DQogICAgICAgIDxEb2k+MTAuMTAyMS9qZjAxMDY5M2k8L0RvaT4NCiAgICAgICAgPElkPjU3OGRmMWJiLWU3YzQtNDgyYi04MmM5LTliOWUwOGE1MmIwNzwvSWQ+DQogICAgICAgIDxMb2NhdGlvbnM+DQogICAgICAgICAgPExvY2F0aW9uPg0KICAgICAgICAgICAgPEFkZHJlc3M+MTAuMTAyMS9qZjAxMDY5M2k8L0FkZHJlc3M+DQogICAgICAgICAgICA8TG9jYXRpb25UeXBlPkVsZWN0cm9uaWNBZGRyZXNzPC9Mb2NhdGlvblR5cGU+DQogICAgICAgICAgPC9Mb2NhdGlvbj4NCiAgICAgICAgICA8TG9jYXRpb24+DQogICAgICAgICAgICA8QWRkcmVzcz5odHRwczovL2RvaS5vcmcvMTAuMTAyMS9qZjAxMDY5M2k8L0FkZHJlc3M+DQogICAgICAgICAgICA8TG9jYXRpb25UeXBlPkVsZWN0cm9uaWNBZGRyZXNzPC9Mb2NhdGlvblR5cGU+DQogICAgICAgICAgPC9Mb2NhdGlvbj4NCiAgICAgICAgPC9Mb2NhdGlvbnM+DQogICAgICAgIDxOb3Rlcz5kb2k6IDEwLjEwMjEvamYwMTA2OTNpDQpkb2k6IDEwLjEwMjEvamYwMTA2OTNpPC9Ob3Rlcz4NCiAgICAgICAgPE51bWJlcj4xMTwvTnVtYmVyPg0KICAgICAgICA8UGFnZVJhbmdlPjwhW0NEQVRBWzxzcD4NCiAgPG4+NTU2MDwvbj4NCiAgPGluPnRydWU8L2luPg0KICA8b3M+NTU2MDwvb3M+DQogIDxwcz41NTYwPC9wcz4NCjwvc3A+DQo8ZXA+DQogIDxuPjU1NjU8L24+DQogIDxpbj50cnVlPC9pbj4NCiAgPG9zPjU1NjU8L29zPg0KICA8cHM+NTU2NTwvcHM+DQo8L2VwPg0KPG9zPjU1NjAtNTU2NTwvb3M+XV0+PC9QYWdlUmFuZ2U+DQogICAgICAgIDxFbmRQYWdlPjU1NjU8L0VuZFBhZ2U+DQogICAgICAgIDxTdGFydFBhZ2U+NTU2MDwvU3RhcnRQYWdlPg0KICAgICAgICA8UGVyaW9kaWNhbD4NCiAgICAgICAgICA8SXNzbj4wMDIxLTg1NjE8L0lzc24+DQogICAgICAgICAgPE5hbWU+Sm91cm5hbCBvZiBBZ3JpY3VsdHVyYWwgYW5kIEZvb2QgQ2hlbWlzdHJ5PC9OYW1lPg0KICAgICAgICA8L1BlcmlvZGljYWw+DQogICAgICAgIDxQdWJsaXNoZXJzPg0KICAgICAgICAgIDxQdWJsaXNoZXI+DQogICAgICAgICAgICA8TmFtZT5BbWVyaWNhbiBDaGVtaWNhbCBTb2NpZXR5PC9OYW1lPg0KICAgICAgICAgIDwvUHVibGlzaGVyPg0KICAgICAgICA8L1B1Ymxpc2hlcnM+DQogICAgICAgIDxTZXF1ZW5jZU51bWJlcj40PC9TZXF1ZW5jZU51bWJlcj4NCiAgICAgICAgPFNob3J0VGl0bGU+TWFzdWRhLCBJbmFiYSBldCBhbC4gMjAwMSDigJMgQW50aW94aWRhbnQgTWVjaGFuaXNtIG9mIENhcm5vc2ljIEFjaWQ8L1Nob3J0VGl0bGU+DQogICAgICAgIDxTb3VyY2VPZkJpYmxpb2dyYXBoaWNJbmZvcm1hdGlvbj5SSVM8L1NvdXJjZU9mQmlibGlvZ3JhcGhpY0luZm9ybWF0aW9uPg0KICAgICAgICA8U3VidGl0bGU+U3RydWN0dXJhbCBJZGVudGlmaWNhdGlvbiBvZiBUd28gT3hpZGF0aW9uIFByb2R1Y3RzPC9TdWJ0aXRsZT4NCiAgICAgICAgPFRpdGxlPkFudGlveGlkYW50IE1lY2hhbmlzbSBvZiBDYXJub3NpYyBBY2lkPC9UaXRsZT4NCiAgICAgICAgPFZvbHVtZT40OTwvVm9sdW1lPg0KICAgICAgICA8WWVhcj4yMDAxPC9ZZWFyPg0KICAgICAgPC9SZWZlcmVuY2U+DQogICAgPC9FbnRyeT4NCiAgPC9FbnRyaWVzPg0KICA8VGV4dD4oU2hhaGlkaSBldCBhbC4gMTk5MjsgUmljaGhlaW1lciBldCBhbC4gMTk5NjsgTWFzdWRhIGV0IGFsLiAyMDA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hhaGlkaSBldCBhbC4gMTk5MjsgUmljaGhlaW1lciBldCBhbC4gMTk5NjsgTWFzdWRhIGV0IGFsLiAyMDAxKTwvVGV4dD4NCiAgICA8L1RleHRVbml0Pg0KICA8L1RleHRVbml0cz4NCjwvUGxhY2Vob2xkZXI+</w:instrText>
      </w:r>
      <w:r w:rsidR="00522CDD">
        <w:fldChar w:fldCharType="separate"/>
      </w:r>
      <w:bookmarkStart w:id="45" w:name="_CTVP00117105afa679e44bcb95b55041df9f531"/>
      <w:r w:rsidR="002F200C">
        <w:t>(Shahidi et al. 1992; Richheimer et al. 1996; Masuda et al. 2001)</w:t>
      </w:r>
      <w:bookmarkEnd w:id="45"/>
      <w:r w:rsidR="00522CDD">
        <w:fldChar w:fldCharType="end"/>
      </w:r>
      <w:r w:rsidR="00522CDD">
        <w:t>.</w:t>
      </w:r>
    </w:p>
    <w:p w14:paraId="32D0F8D2" w14:textId="77777777" w:rsidR="00D03F63" w:rsidRPr="00D03F63" w:rsidRDefault="00D03F63" w:rsidP="00D03F63"/>
    <w:p w14:paraId="15E671B3" w14:textId="18B8F81C" w:rsidR="00D03F63" w:rsidRPr="00D03F63" w:rsidRDefault="00D03F63" w:rsidP="00D03F63">
      <w:r w:rsidRPr="00D03F63">
        <w:t xml:space="preserve">The reaction mechanism has been described as a cascade of antioxidant activity whereby </w:t>
      </w:r>
      <w:r w:rsidR="00E67220">
        <w:t>carnosol</w:t>
      </w:r>
      <w:r w:rsidRPr="00D03F63">
        <w:t xml:space="preserve"> is first produced by oxid</w:t>
      </w:r>
      <w:r w:rsidR="006C1B1E">
        <w:t>ation of carnosic acid. Carnosol</w:t>
      </w:r>
      <w:r w:rsidRPr="00D03F63">
        <w:t xml:space="preserve">, in turn, </w:t>
      </w:r>
      <w:r w:rsidR="006C1B1E">
        <w:t xml:space="preserve">is oxidised </w:t>
      </w:r>
      <w:r w:rsidRPr="00D03F63">
        <w:t>to form degradation products that can also have antioxida</w:t>
      </w:r>
      <w:r w:rsidR="0049611C">
        <w:t>nt</w:t>
      </w:r>
      <w:r w:rsidRPr="00D03F63">
        <w:t xml:space="preserve"> activities </w:t>
      </w:r>
      <w:r w:rsidRPr="00D03F63">
        <w:fldChar w:fldCharType="begin"/>
      </w:r>
      <w:r w:rsidR="008B317B">
        <w:instrText>ADDIN CITAVI.PLACEHOLDER d3b77102-87c5-49c5-aae3-cc10cec50773 PFBsYWNlaG9sZGVyPg0KICA8QWRkSW5WZXJzaW9uPjUuNS4wLjE8L0FkZEluVmVyc2lvbj4NCiAgPElkPmQzYjc3MTAyLTg3YzUtNDljNS1hYWUzLWNjMTBjZWM1MDc3MzwvSWQ+DQogIDxFbnRyaWVzPg0KICAgIDxFbnRyeT4NCiAgICAgIDxJZD5iNGIyYWMzZi1hYmYxLTQwZTctYWRlYS05OTlmYWI3ZTQ5MDM8L0lkPg0KICAgICAgPFJlZmVyZW5jZUlkPmIyMGJiMzk4LTk4MTEtNDVjMS05MzA3LTJlYzYyMjU5NDZhZjwvUmVmZXJlbmNlSWQ+DQogICAgICA8UmFuZ2U+DQogICAgICAgIDxTdGFydD4xOTwvU3RhcnQ+DQogICAgICAgIDxMZW5ndGg+MzA8L0xlbmd0aD4NCiAgICAgIDwvUmFuZ2U+DQogICAgICA8UmVmZXJlbmNlPg0KICAgICAgICA8UmVmZXJlbmNlVHlwZUlkPkpvdXJuYWxBcnRpY2xlPC9SZWZlcmVuY2VUeXBlSWQ+DQogICAgICAgIDxBdXRob3JzPg0KICAgICAgICAgIDxQZXJzb24+DQogICAgICAgICAgICA8Rmlyc3ROYW1lPk1hxaFhPC9GaXJzdE5hbWU+DQogICAgICAgICAgICA8TGFzdE5hbWU+UmF6Ym9yxaFlazwvTGFzdE5hbWU+DQogICAgICAgICAgICA8TWlkZGxlTmFtZT5Jc2xhbcSNZXZpxIc8L01pZGRsZU5hbWU+DQogICAgICAgICAgPC9QZXJzb24+DQogICAgICAgICAgPFBlcnNvbj4NCiAgICAgICAgICAgIDxGaXJzdE5hbWU+TWlsZW5hPC9GaXJzdE5hbWU+DQogICAgICAgICAgICA8TGFzdE5hbWU+SXZhbm92acSHPC9MYXN0TmFtZT4NCiAgICAgICAgICAgIDxTZXg+RmVtYWxlPC9TZXg+DQogICAgICAgICAgPC9QZXJzb24+DQogICAgICAgIDwvQXV0aG9ycz4NCiAgICAgICAgPERhdGU+MjAvMDgvMjAxNjwvRGF0ZT4NCiAgICAgICAgPERvaT4xMC4xMDE2L2ouaWptcy4yMDE2LjA3LjAwMjwvRG9pPg0KICAgICAgICA8SWQ+YjIwYmIzOTgtOTgxMS00NWMxLTkzMDctMmVjNjIyNTk0NmFmPC9JZD4NCiAgICAgICAgPExvY2F0aW9ucz4NCiAgICAgICAgICA8TG9jYXRpb24+DQogICAgICAgICAgICA8QWRkcmVzcz5odHRwczovL2RvaS5vcmcvMTAuMTAxNi9qLmlqbXMuMjAxNi4wNy4wMDI8L0FkZHJlc3M+DQogICAgICAgICAgICA8TG9jYXRpb25UeXBlPkVsZWN0cm9uaWNBZGRyZXNzPC9Mb2NhdGlvblR5cGU+DQogICAgICAgICAgPC9Mb2NhdGlvbj4NCiAgICAgICAgICA8TG9jYXRpb24+DQogICAgICAgICAgICA8QWRkcmVzcz5odHRwOi8vd3d3LnNjaWVuY2VkaXJlY3QuY29tL3NjaWVuY2UvYXJ0aWNsZS9waWkvUzEzODczODA2MTYzMDExMTc8L0FkZHJlc3M+DQogICAgICAgICAgICA8TG9jYXRpb25UeXBlPkVsZWN0cm9uaWNBZGRyZXNzPC9Mb2NhdGlvblR5cGU+DQogICAgICAgICAgPC9Mb2NhdGlvbj4NCiAgICAgICAgPC9Mb2NhdGlvbnM+DQogICAgICAgIDxQYWdlUmFuZ2U+PCFbQ0RBVEFbPHNwPg0KICA8bj4yOTwvbj4NCiAgPGluPnRydWU8L2luPg0KICA8b3M+Mjk8L29zPg0KICA8cHM+Mjk8L3BzPg0KPC9zcD4NCjxlcD4NCiAgPG4+Mzk8L24+DQogIDxpbj50cnVlPC9pbj4NCiAgPG9zPjM5PC9vcz4NCiAgPHBzPjM5PC9wcz4NCjwvZXA+DQo8b3M+MjktMzk8L29zPl1dPjwvUGFnZVJhbmdlPg0KICAgICAgICA8RW5kUGFnZT4zOTwvRW5kUGFnZT4NCiAgICAgICAgPFN0YXJ0UGFnZT4yOTwvU3RhcnRQYWdlPg0KICAgICAgICA8UGVyaW9kaWNhbD4NCiAgICAgICAgICA8SXNzbj4xMzg3LTM4MDY8L0lzc24+DQogICAgICAgICAgPE5hbWU+SW50ZXJuYXRpb25hbCBKb3VybmFsIG9mIE1hc3MgU3BlY3Ryb21ldHJ5PC9OYW1lPg0KICAgICAgICA8L1BlcmlvZGljYWw+DQogICAgICAgIDxTZXF1ZW5jZU51bWJlcj42PC9TZXF1ZW5jZU51bWJlcj4NCiAgICAgICAgPFNob3J0VGl0bGU+UmF6Ym9yxaFlaywgSXZhbm92acSHIDIwMTYg4oCTIFN0YWJpbGl0eSBzdHVkaWVzIGFuZCBkZXRlcm1pbmF0aW9uPC9TaG9ydFRpdGxlPg0KICAgICAgICA8U291cmNlT2ZCaWJsaW9ncmFwaGljSW5mb3JtYXRpb24+UklTPC9Tb3VyY2VPZkJpYmxpb2dyYXBoaWNJbmZvcm1hdGlvbj4NCiAgICAgICAgPFRpdGxlPlN0YWJpbGl0eSBzdHVkaWVzIGFuZCBkZXRlcm1pbmF0aW9uIG9mIGNhcm5vc2ljIGFjaWQgYW5kIGl0cyBveGlkYXRpdmUgZGVncmFkYXRpb24gcHJvZHVjdHMgYnkgZ2FzIGNocm9tYXRvZ3JhcGh54oCTbWFzcyBzcGVjdHJvbWV0cnk8L1RpdGxlPg0KICAgICAgICA8Vm9sdW1lPjQwNzwvVm9sdW1lPg0KICAgICAgICA8WWVhcj4yMDE2PC9ZZWFyPg0KICAgICAgPC9SZWZlcmVuY2U+DQogICAgPC9FbnRyeT4NCiAgICA8RW50cnk+DQogICAgICA8SWQ+N2I2OTI1OWYtMGNjYS00YmQ0LThhZDUtNzkxNjZjMTZhYWY4PC9JZD4NCiAgICAgIDxSZWZlcmVuY2VJZD41NzhkZjFiYi1lN2M0LTQ4MmItODJjOS05YjllMDhhNTJiMDc8L1JlZmVyZW5jZUlkPg0KICAgICAgPFJhbmdlPg0KICAgICAgICA8U3RhcnQ+MDwvU3RhcnQ+DQogICAgICAgIDxMZW5ndGg+MTk8L0xlbmd0aD4NCiAgICAgIDwvUmFuZ2U+DQogICAgICA8UmVmZXJlbmNlPg0KICAgICAgICA8UmVmZXJlbmNlVHlwZUlkPkpvdXJuYWxBcnRpY2xlPC9SZWZlcmVuY2VUeXBlSWQ+DQogICAgICAgIDxBdXRob3JzPg0KICAgICAgICAgIDxQZXJzb24+DQogICAgICAgICAgICA8Rmlyc3ROYW1lPlRvc2hpeWE8L0ZpcnN0TmFtZT4NCiAgICAgICAgICAgIDxMYXN0TmFtZT5NYXN1ZGE8L0xhc3ROYW1lPg0KICAgICAgICAgIDwvUGVyc29uPg0KICAgICAgICAgIDxQZXJzb24+DQogICAgICAgICAgICA8Rmlyc3ROYW1lPll1enVydTwvRmlyc3ROYW1lPg0KICAgICAgICAgICAgPExhc3ROYW1lPkluYWJhPC9MYXN0TmFtZT4NCiAgICAgICAgICA8L1BlcnNvbj4NCiAgICAgICAgICA8UGVyc29uPg0KICAgICAgICAgICAgPEZpcnN0TmFtZT5Zb3NoaW88L0ZpcnN0TmFtZT4NCiAgICAgICAgICAgIDxMYXN0TmFtZT5UYWtlZGE8L0xhc3ROYW1lPg0KICAgICAgICAgIDwvUGVyc29uPg0KICAgICAgICA8L0F1dGhvcnM+DQogICAgICAgIDxEYXRlPjEvMTEvMjAwMTwvRGF0ZT4NCiAgICAgICAgPERvaT4xMC4xMDIxL2pmMDEwNjkzaTwvRG9pPg0KICAgICAgICA8SWQ+NTc4ZGYxYmItZTdjNC00ODJiLTgyYzktOWI5ZTA4YTUyYjA3PC9JZD4NCiAgICAgICAgPExvY2F0aW9ucz4NCiAgICAgICAgICA8TG9jYXRpb24+DQogICAgICAgICAgICA8QWRkcmVzcz4xMC4xMDIxL2pmMDEwNjkzaTwvQWRkcmVzcz4NCiAgICAgICAgICAgIDxMb2NhdGlvblR5cGU+RWxlY3Ryb25pY0FkZHJlc3M8L0xvY2F0aW9uVHlwZT4NCiAgICAgICAgICA8L0xvY2F0aW9uPg0KICAgICAgICAgIDxMb2NhdGlvbj4NCiAgICAgICAgICAgIDxBZGRyZXNzPmh0dHBzOi8vZG9pLm9yZy8xMC4xMDIxL2pmMDEwNjkzaTwvQWRkcmVzcz4NCiAgICAgICAgICAgIDxMb2NhdGlvblR5cGU+RWxlY3Ryb25pY0FkZHJlc3M8L0xvY2F0aW9uVHlwZT4NCiAgICAgICAgICA8L0xvY2F0aW9uPg0KICAgICAgICA8L0xvY2F0aW9ucz4NCiAgICAgICAgPE5vdGVzPmRvaTogMTAuMTAyMS9qZjAxMDY5M2kNCmRvaTogMTAuMTAyMS9qZjAxMDY5M2k8L05vdGVzPg0KICAgICAgICA8TnVtYmVyPjExPC9OdW1iZXI+DQogICAgICAgIDxQYWdlUmFuZ2U+PCFbQ0RBVEFbPHNwPg0KICA8bj41NTYwPC9uPg0KICA8aW4+dHJ1ZTwvaW4+DQogIDxvcz41NTYwPC9vcz4NCiAgPHBzPjU1NjA8L3BzPg0KPC9zcD4NCjxlcD4NCiAgPG4+NTU2NTwvbj4NCiAgPGluPnRydWU8L2luPg0KICA8b3M+NTU2NTwvb3M+DQogIDxwcz41NTY1PC9wcz4NCjwvZXA+DQo8b3M+NTU2MC01NTY1PC9vcz5dXT48L1BhZ2VSYW5nZT4NCiAgICAgICAgPEVuZFBhZ2U+NTU2NTwvRW5kUGFnZT4NCiAgICAgICAgPFN0YXJ0UGFnZT41NTYwPC9TdGFydFBhZ2U+DQogICAgICAgIDxQZXJpb2RpY2FsPg0KICAgICAgICAgIDxJc3NuPjAwMjEtODU2MTwvSXNzbj4NCiAgICAgICAgICA8TmFtZT5Kb3VybmFsIG9mIEFncmljdWx0dXJhbCBhbmQgRm9vZCBDaGVtaXN0cnk8L05hbWU+DQogICAgICAgIDwvUGVyaW9kaWNhbD4NCiAgICAgICAgPFB1Ymxpc2hlcnM+DQogICAgICAgICAgPFB1Ymxpc2hlcj4NCiAgICAgICAgICAgIDxOYW1lPkFtZXJpY2FuIENoZW1pY2FsIFNvY2lldHk8L05hbWU+DQogICAgICAgICAgPC9QdWJsaXNoZXI+DQogICAgICAgIDwvUHVibGlzaGVycz4NCiAgICAgICAgPFNlcXVlbmNlTnVtYmVyPjQ8L1NlcXVlbmNlTnVtYmVyPg0KICAgICAgICA8U2hvcnRUaXRsZT5NYXN1ZGEsIEluYWJhIGV0IGFsLiAyMDAxIOKAkyBBbnRpb3hpZGFudCBNZWNoYW5pc20gb2YgQ2Fybm9zaWMgQWNpZDwvU2hvcnRUaXRsZT4NCiAgICAgICAgPFNvdXJjZU9mQmlibGlvZ3JhcGhpY0luZm9ybWF0aW9uPlJJUzwvU291cmNlT2ZCaWJsaW9ncmFwaGljSW5mb3JtYXRpb24+DQogICAgICAgIDxTdWJ0aXRsZT5TdHJ1Y3R1cmFsIElkZW50aWZpY2F0aW9uIG9mIFR3byBPeGlkYXRpb24gUHJvZHVjdHM8L1N1YnRpdGxlPg0KICAgICAgICA8VGl0bGU+QW50aW94aWRhbnQgTWVjaGFuaXNtIG9mIENhcm5vc2ljIEFjaWQ8L1RpdGxlPg0KICAgICAgICA8Vm9sdW1lPjQ5PC9Wb2x1bWU+DQogICAgICAgIDxZZWFyPjIwMDE8L1llYXI+DQogICAgICA8L1JlZmVyZW5jZT4NCiAgICA8L0VudHJ5Pg0KICA8L0VudHJpZXM+DQogIDxUZXh0PihNYXN1ZGEgZXQgYWwuIDIwMDE7IFJhemJvcsWhZWsgYW5kIEl2YW5vdmnEhy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zdWRhIGV0IGFsLiAyMDAxOyBSYXpib3LFoWVrIGFuZCBJdmFub3ZpxIcgMjAxNik8L1RleHQ+DQogICAgPC9UZXh0VW5pdD4NCiAgPC9UZXh0VW5pdHM+DQo8L1BsYWNlaG9sZGVyPg==</w:instrText>
      </w:r>
      <w:r w:rsidRPr="00D03F63">
        <w:fldChar w:fldCharType="separate"/>
      </w:r>
      <w:bookmarkStart w:id="46" w:name="_CTVP001d3b7710287c549c5aae3cc10cec50773"/>
      <w:r w:rsidR="002F200C">
        <w:t>(Masuda et al. 2001; Razboršek and Ivanović 2016)</w:t>
      </w:r>
      <w:bookmarkEnd w:id="46"/>
      <w:r w:rsidRPr="00D03F63">
        <w:fldChar w:fldCharType="end"/>
      </w:r>
      <w:r w:rsidRPr="00D03F63">
        <w:t>. The antioxida</w:t>
      </w:r>
      <w:r w:rsidR="0049611C">
        <w:t>nt</w:t>
      </w:r>
      <w:r w:rsidRPr="00D03F63">
        <w:t xml:space="preserve"> activity </w:t>
      </w:r>
      <w:r w:rsidR="0049611C">
        <w:t>depends</w:t>
      </w:r>
      <w:r w:rsidRPr="00D03F63">
        <w:t xml:space="preserve"> on the amounts of </w:t>
      </w:r>
      <w:r w:rsidR="00E67220">
        <w:t>carnosol</w:t>
      </w:r>
      <w:r w:rsidRPr="00D03F63">
        <w:t xml:space="preserve"> and carnosic acid in the isolated rosemary extract </w:t>
      </w:r>
      <w:r w:rsidRPr="00D03F63">
        <w:fldChar w:fldCharType="begin"/>
      </w:r>
      <w:r w:rsidR="002F200C">
        <w:instrText>ADDIN CITAVI.PLACEHOLDER 32370cec-4a5e-4881-9705-bc25d0182c61 PFBsYWNlaG9sZGVyPg0KICA8QWRkSW5WZXJzaW9uPjUuNS4wLjE8L0FkZEluVmVyc2lvbj4NCiAgPElkPjMyMzcwY2VjLTRhNWUtNDg4MS05NzA1LWJjMjVkMDE4MmM2MTwvSWQ+DQogIDxFbnRyaWVzPg0KICAgIDxFbnRyeT4NCiAgICAgIDxJZD43ZGVjODc5OC05MWMxLTQ1NmEtOGI3NS03ZmFlYjcxNTZhNDg8L0lkPg0KICAgICAgPFJlZmVyZW5jZUlkPmUxYmJhNzg2LWY3M2QtNGQ4MS05ZWQzLWRiMThhM2FjMWJjO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S2FyaW48L0ZpcnN0TmFtZT4NCiAgICAgICAgICAgIDxMYXN0TmFtZT5TY2h3YXJ6PC9MYXN0TmFtZT4NCiAgICAgICAgICAgIDxTZXg+RmVtYWxlPC9TZXg+DQogICAgICAgICAgPC9QZXJzb24+DQogICAgICAgICAgPFBlcnNvbj4NCiAgICAgICAgICAgIDxGaXJzdE5hbWU+V2FsZGVtYXI8L0ZpcnN0TmFtZT4NCiAgICAgICAgICAgIDxMYXN0TmFtZT5UZXJuZXM8L0xhc3ROYW1lPg0KICAgICAgICAgICAgPFNleD5NYWxlPC9TZXg+DQogICAgICAgICAgPC9QZXJzb24+DQogICAgICAgICAgPFBlcnNvbj4NCiAgICAgICAgICAgIDxGaXJzdE5hbWU+RWJlcmhhcmQ8L0ZpcnN0TmFtZT4NCiAgICAgICAgICAgIDxMYXN0TmFtZT5TY2htYXVkZXJlcjwvTGFzdE5hbWU+DQogICAgICAgICAgICA8U2V4Pk1hbGU8L1NleD4NCiAgICAgICAgICA8L1BlcnNvbj4NCiAgICAgICAgPC9BdXRob3JzPg0KICAgICAgICA8RGF0ZT4xLzA4LzE5OTI8L0RhdGU+DQogICAgICAgIDxEb2k+MTAuMTAwNy9CRjAxMjAxNzY3PC9Eb2k+DQogICAgICAgIDxJZD5lMWJiYTc4Ni1mNzNkLTRkODEtOWVkMy1kYjE4YTNhYzFiYzk8L0lkPg0KICAgICAgICA8TG9jYXRpb25zPg0KICAgICAgICAgIDxMb2NhdGlvbj4NCiAgICAgICAgICAgIDxBZGRyZXNzPmh0dHBzOi8vZG9pLm9yZy8xMC4xMDA3L0JGMDEyMDE3Njc8L0FkZHJlc3M+DQogICAgICAgICAgICA8TG9jYXRpb25UeXBlPkVsZWN0cm9uaWNBZGRyZXNzPC9Mb2NhdGlvblR5cGU+DQogICAgICAgICAgPC9Mb2NhdGlvbj4NCiAgICAgICAgICA8TG9jYXRpb24+DQogICAgICAgICAgICA8QWRkcmVzcz4xMC4xMDA3L0JGMDEyMDE3Njc8L0FkZHJlc3M+DQogICAgICAgICAgICA8TG9jYXRpb25UeXBlPkVsZWN0cm9uaWNBZGRyZXNzPC9Mb2NhdGlvblR5cGU+DQogICAgICAgICAgPC9Mb2NhdGlvbj4NCiAgICAgICAgPC9Mb2NhdGlvbnM+DQogICAgICAgIDxOdW1iZXI+MjwvTnVtYmVyPg0KICAgICAgICA8UGFnZVJhbmdlPjwhW0NEQVRBWzxzcD4NCiAgPG4+MTA0PC9uPg0KICA8aW4+dHJ1ZTwvaW4+DQogIDxvcz4xMDQ8L29zPg0KICA8cHM+MTA0PC9wcz4NCjwvc3A+DQo8ZXA+DQogIDxuPjEwNzwvbj4NCiAgPGluPnRydWU8L2luPg0KICA8b3M+MTA3PC9vcz4NCiAgPHBzPjEwNzwvcHM+DQo8L2VwPg0KPG9zPjEwNC0xMDc8L29zPl1dPjwvUGFnZVJhbmdlPg0KICAgICAgICA8RW5kUGFnZT4xMDc8L0VuZFBhZ2U+DQogICAgICAgIDxTdGFydFBhZ2U+MTA0PC9TdGFydFBhZ2U+DQogICAgICAgIDxQZXJpb2RpY2FsPg0KICAgICAgICAgIDxJc3NuPjE0MzgtMjM4NTwvSXNzbj4NCiAgICAgICAgICA8TmFtZT5aZWl0c2NocmlmdCBmw7xyIExlYmVuc21pdHRlbC1VbnRlcnN1Y2h1bmcgdW5kIEZvcnNjaHVuZzwvTmFtZT4NCiAgICAgICAgPC9QZXJpb2RpY2FsPg0KICAgICAgICA8U2VxdWVuY2VOdW1iZXI+ODwvU2VxdWVuY2VOdW1iZXI+DQogICAgICAgIDxTaG9ydFRpdGxlPlNjaHdhcnosIFRlcm5lcyBldCBhbC4gMTk5MiDigJMgQW50aW94aWRhdGl2ZSBjb25zdGl0dWVudHMgb2YgUm9zbWFyaW51cyBvZmZpY2luYWxpczwvU2hvcnRUaXRsZT4NCiAgICAgICAgPFNvdXJjZU9mQmlibGlvZ3JhcGhpY0luZm9ybWF0aW9uPlJJUzwvU291cmNlT2ZCaWJsaW9ncmFwaGljSW5mb3JtYXRpb24+DQogICAgICAgIDxTdWJ0aXRsZT5QYXJ0IElJSTwvU3VidGl0bGU+DQogICAgICAgIDxUaXRsZT5BbnRpb3hpZGF0aXZlIGNvbnN0aXR1ZW50cyBvZiBSb3NtYXJpbnVzIG9mZmljaW5hbGlzIGFuZCBTYWx2aWEgb2ZmaWNpbmFsaXM8L1RpdGxlPg0KICAgICAgICA8Vm9sdW1lPjE5NTwvVm9sdW1lPg0KICAgICAgICA8WWVhcj4xOTkyPC9ZZWFyPg0KICAgICAgPC9SZWZlcmVuY2U+DQogICAgPC9FbnRyeT4NCiAgPC9FbnRyaWVzPg0KICA8VGV4dD4oU2Nod2FyeiBldCBhbC4gMTk5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jaHdhcnogZXQgYWwuIDE5OTIpPC9UZXh0Pg0KICAgIDwvVGV4dFVuaXQ+DQogIDwvVGV4dFVuaXRzPg0KPC9QbGFjZWhvbGRlcj4=</w:instrText>
      </w:r>
      <w:r w:rsidRPr="00D03F63">
        <w:fldChar w:fldCharType="separate"/>
      </w:r>
      <w:bookmarkStart w:id="47" w:name="_CTVP00132370cec4a5e48819705bc25d0182c61"/>
      <w:r w:rsidR="002F200C">
        <w:t>(Schwarz et al. 1992)</w:t>
      </w:r>
      <w:bookmarkEnd w:id="47"/>
      <w:r w:rsidRPr="00D03F63">
        <w:fldChar w:fldCharType="end"/>
      </w:r>
      <w:r w:rsidRPr="00D03F63">
        <w:t xml:space="preserve">. </w:t>
      </w:r>
    </w:p>
    <w:p w14:paraId="44A4A41A" w14:textId="37F7A79F" w:rsidR="00D03F63" w:rsidRPr="00D03F63" w:rsidRDefault="00D03F63" w:rsidP="00DF662D">
      <w:pPr>
        <w:pStyle w:val="Heading2"/>
      </w:pPr>
      <w:bookmarkStart w:id="48" w:name="_Toc516056525"/>
      <w:bookmarkStart w:id="49" w:name="_Toc517709871"/>
      <w:bookmarkStart w:id="50" w:name="_Toc518388271"/>
      <w:bookmarkStart w:id="51" w:name="_Toc526498360"/>
      <w:r w:rsidRPr="00D03F63">
        <w:t>2.3</w:t>
      </w:r>
      <w:r w:rsidRPr="00D03F63">
        <w:tab/>
        <w:t>Manufacturing process</w:t>
      </w:r>
      <w:bookmarkEnd w:id="48"/>
      <w:bookmarkEnd w:id="49"/>
      <w:bookmarkEnd w:id="50"/>
      <w:bookmarkEnd w:id="51"/>
    </w:p>
    <w:p w14:paraId="7B3840E3" w14:textId="17EED2DC" w:rsidR="00D03F63" w:rsidRPr="00D03F63" w:rsidRDefault="00D03F63" w:rsidP="005137FA">
      <w:pPr>
        <w:pStyle w:val="Heading3"/>
      </w:pPr>
      <w:bookmarkStart w:id="52" w:name="_Toc516056526"/>
      <w:bookmarkStart w:id="53" w:name="_Toc517709872"/>
      <w:bookmarkStart w:id="54" w:name="_Toc518388272"/>
      <w:bookmarkStart w:id="55" w:name="_Toc526498361"/>
      <w:r w:rsidRPr="00D03F63">
        <w:t>2.3.1</w:t>
      </w:r>
      <w:r w:rsidRPr="00D03F63">
        <w:tab/>
      </w:r>
      <w:r w:rsidRPr="002D5665">
        <w:t>Description</w:t>
      </w:r>
      <w:bookmarkEnd w:id="52"/>
      <w:bookmarkEnd w:id="53"/>
      <w:bookmarkEnd w:id="54"/>
      <w:bookmarkEnd w:id="55"/>
      <w:r w:rsidRPr="00D03F63">
        <w:t xml:space="preserve"> </w:t>
      </w:r>
    </w:p>
    <w:p w14:paraId="381E38E7" w14:textId="1CFB8E56" w:rsidR="00D03F63" w:rsidRDefault="00D03F63" w:rsidP="00D03F63">
      <w:pPr>
        <w:rPr>
          <w:lang w:eastAsia="en-AU"/>
        </w:rPr>
      </w:pPr>
      <w:r w:rsidRPr="00D03F63">
        <w:rPr>
          <w:lang w:eastAsia="en-AU"/>
        </w:rPr>
        <w:t xml:space="preserve">There are several solvent-based procedures for preparing rosemary extract for use as a food additive </w:t>
      </w:r>
      <w:r w:rsidRPr="00D03F63">
        <w:rPr>
          <w:lang w:eastAsia="en-AU"/>
        </w:rPr>
        <w:fldChar w:fldCharType="begin"/>
      </w:r>
      <w:r w:rsidR="002F200C">
        <w:rPr>
          <w:lang w:eastAsia="en-AU"/>
        </w:rPr>
        <w:instrText>ADDIN CITAVI.PLACEHOLDER af8a4d07-adc4-46da-b13a-7d5fde705ee9 PFBsYWNlaG9sZGVyPg0KICA8QWRkSW5WZXJzaW9uPjUuNS4wLjE8L0FkZEluVmVyc2lvbj4NCiAgPElkPmFmOGE0ZDA3LWFkYzQtNDZkYS1iMTNhLTdkNWZkZTcwNWVlOTwvSWQ+DQogIDxFbnRyaWVzPg0KICAgIDxFbnRyeT4NCiAgICAgIDxJZD5mMDYwN2NjYS03MzFkLTQ4YjQtYTlhNC03YjUwYjVkNTZiMDU8L0lkPg0KICAgICAgPFJlZmVyZW5jZUlkPjJmZjMzMjUwLThhMTktNGUwOS05MDdjLWJlMDZlNDcxOTk2ZTwvUmVmZXJlbmNlSWQ+DQogICAgICA8UmFuZ2U+DQogICAgICAgIDxTdGFydD4wPC9TdGFydD4NCiAgICAgICAgPExlbmd0aD4yNzwvTGVuZ3RoPg0KICAgICAgPC9SYW5nZT4NCiAgICAgIDxSZWZlcmVuY2U+DQogICAgICAgIDxSZWZlcmVuY2VUeXBlSWQ+Q29udHJpYnV0aW9uPC9SZWZlcmVuY2VUeXBlSWQ+DQogICAgICAgIDxBdXRob3JzPg0KICAgICAgICAgIDxQZXJzb24+DQogICAgICAgICAgICA8Rmlyc3ROYW1lPkRvbmFsZDwvRmlyc3ROYW1lPg0KICAgICAgICAgICAgPExhc3ROYW1lPkJlcmRhaGw8L0xhc3ROYW1lPg0KICAgICAgICAgICAgPE1pZGRsZU5hbWU+Ui48L01pZGRsZU5hbWU+DQogICAgICAgICAgICA8U2V4Pk1hbGU8L1NleD4NCiAgICAgICAgICA8L1BlcnNvbj4NCiAgICAgICAgICA8UGVyc29uPg0KICAgICAgICAgICAgPEZpcnN0TmFtZT5KaWxsPC9GaXJzdE5hbWU+DQogICAgICAgICAgICA8TGFzdE5hbWU+TWNLZWFndWU8L0xhc3ROYW1lPg0KICAgICAgICAgICAgPFNleD5GZW1hbGU8L1NleD4NCiAgICAgICAgICA8L1BlcnNvbj4NCiAgICAgICAgPC9BdXRob3JzPg0KICAgICAgICA8RG9pPjEwLjEwMTYvQjk3OC0xLTc4MjQyLTA4OS03LjAwMDA4LTc8L0RvaT4NCiAgICAgICAgPElkPjJmZjMzMjUwLThhMTktNGUwOS05MDdjLWJlMDZlNDcxOTk2ZTwvSWQ+DQogICAgICAgIDxMb2NhdGlvbnM+DQogICAgICAgICAgPExvY2F0aW9uPg0KICAgICAgICAgICAgPEFkZHJlc3M+aHR0cHM6Ly9kb2kub3JnLzEwLjEwMTYvQjk3OC0xLTc4MjQyLTA4OS03LjAwMDA4LTc8L0FkZHJlc3M+DQogICAgICAgICAgICA8TG9jYXRpb25UeXBlPkVsZWN0cm9uaWNBZGRyZXNzPC9Mb2NhdGlvblR5cGU+DQogICAgICAgICAgPC9Mb2NhdGlvbj4NCiAgICAgICAgICA8TG9jYXRpb24+DQogICAgICAgICAgICA8QWRkcmVzcz5odHRwczovL3d3dy5zY2llbmNlZGlyZWN0LmNvbS9zY2llbmNlL2FydGljbGUvcGlpL0I5NzgxNzgyNDIwODk3MDAwMDg3PC9BZGRyZXNzPg0KICAgICAgICAgICAgPExvY2F0aW9uVHlwZT5FbGVjdHJvbmljQWRkcmVzczwvTG9jYXRpb25UeXBlPg0KICAgICAgICAgIDwvTG9jYXRpb24+DQogICAgICAgIDwvTG9jYXRpb25zPg0KICAgICAgICA8T25saW5lQWRkcmVzcz5odHRwczovL3d3dy5zY2llbmNlZGlyZWN0LmNvbS9zY2llbmNlL2FydGljbGUvcGlpL0I5NzgxNzgyNDIwODk3MDAwMDg3PC9PbmxpbmVBZGRyZXNzPg0KICAgICAgICA8UGFnZVJhbmdlPjwhW0NEQVRBWzxzcD4NCiAgPG4+MTc3PC9uPg0KICA8aW4+dHJ1ZTwvaW4+DQogIDxvcz4xNzc8L29zPg0KICA8cHM+MTc3PC9wcz4NCjwvc3A+DQo8ZXA+DQogIDxuPjIxNzwvbj4NCiAgPGluPnRydWU8L2luPg0KICA8b3M+MjE3PC9vcz4NCiAgPHBzPjIxNzwvcHM+DQo8L2VwPg0KPG9zPjE3Ny0yMTc8L29zPl1dPjwvUGFnZVJhbmdlPg0KICAgICAgICA8RW5kUGFnZT4yMTc8L0VuZFBhZ2U+DQogICAgICAgIDxTdGFydFBhZ2U+MTc3PC9TdGFydFBhZ2U+DQogICAgICAgIDxQYXJlbnRSZWZlcmVuY2U+PFJlZmVyZW5jZT48UmVmZXJlbmNlVHlwZUlkPkJvb2tFZGl0ZWQ8L1JlZmVyZW5jZVR5cGVJZD48RWRpdG9ycz48UGVyc29uPjxMYXN0TmFtZT5Sb3NlbWFyeSBhbmQgc2FnZSBleHRyYWN0cyBhcyBhbnRpb3hpZGFudHMgZm9yIGZvb2QgcHJlc2VydmF0aW9uIEEyLVNoYWhpZGksIEZlcmVpZG9vbjwvTGFzdE5hbWU+PC9QZXJzb24+PC9FZGl0b3JzPjxJZD45NTQ0MjY4MC1hNThhLTRiOTgtOTc2MC1iMGRlMmZlYThjNDk8L0lkPjxJc2JuPjk3OC0xLTc4MjQyLTA4OS03PC9Jc2JuPjxQdWJsaXNoZXJzPjxQdWJsaXNoZXI+PE5hbWU+V29vZGhlYWQgUHVibGlzaGluZzwvTmFtZT48L1B1Ymxpc2hlcj48L1B1Ymxpc2hlcnM+PFNlcXVlbmNlTnVtYmVyPjEzPC9TZXF1ZW5jZU51bWJlcj48U2hvcnRUaXRsZT5Sb3NlbWFyeSBhbmQgc2FnZSBleHRyYWN0cyBhcyBhbnRpb3hpZGFudHMgZm9yIGZvb2QgcHJlc2VydmF0aW9uIEEyLVNoYWhpZGksIEZlcmVpZG9vbiAoRWQuKSAyMDE1IOKAkyBIYW5kYm9vayBvZiBBbnRpb3hpZGFudHMgZm9yIEZvb2Q8L1Nob3J0VGl0bGU+PFNvdXJjZU9mQmlibGlvZ3JhcGhpY0luZm9ybWF0aW9uPlJJUzwvU291cmNlT2ZCaWJsaW9ncmFwaGljSW5mb3JtYXRpb24+PFRpdGxlPkhhbmRib29rIG9mIEFudGlveGlkYW50cyBmb3IgRm9vZCBQcmVzZXJ2YXRpb24gOiBXb29kaGVhZCBQdWJsaXNoaW5nIFNlcmllcyBpbiBGb29kIFNjaWVuY2UsIFRlY2hub2xvZ3kgYW5kIE51dHJpdGlvbjwvVGl0bGU+PFllYXI+MjAxNTwvWWVhcj48L1JlZmVyZW5jZT48L1BhcmVudFJlZmVyZW5jZT4NCiAgICAgICAgPFNlcXVlbmNlTnVtYmVyPjE0PC9TZXF1ZW5jZU51bWJlcj4NCiAgICAgICAgPFNob3J0VGl0bGU+QmVyZGFobCwgTWNLZWFndWUgMjAxNSDigJMgODwvU2hvcnRUaXRsZT4NCiAgICAgICAgPFNvdXJjZU9mQmlibGlvZ3JhcGhpY0luZm9ybWF0aW9uPlJJUzwvU291cmNlT2ZCaWJsaW9ncmFwaGljSW5mb3JtYXRpb24+DQogICAgICAgIDxUaXRsZT44IC0gUm9zZW1hcnkgYW5kIHNhZ2UgZXh0cmFjdHMgYXMgYW50aW94aWRhbnRzIGZvciBmb29kIHByZXNlcnZhdGlvbiBBMiAtIFNoYWhpZGksIEZlcmVpZG9vbjwvVGl0bGU+DQogICAgICA8L1JlZmVyZW5jZT4NCiAgICA8L0VudHJ5Pg0KICA8L0VudHJpZXM+DQogIDxUZXh0PihCZXJkYWhsIGFuZCBNY0tlYWd1ZS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VyZGFobCBhbmQgTWNLZWFndWUgMjAxNSk8L1RleHQ+DQogICAgPC9UZXh0VW5pdD4NCiAgPC9UZXh0VW5pdHM+DQo8L1BsYWNlaG9sZGVyPg==</w:instrText>
      </w:r>
      <w:r w:rsidRPr="00D03F63">
        <w:rPr>
          <w:lang w:eastAsia="en-AU"/>
        </w:rPr>
        <w:fldChar w:fldCharType="separate"/>
      </w:r>
      <w:bookmarkStart w:id="56" w:name="_CTVP001af8a4d07adc446dab13a7d5fde705ee9"/>
      <w:r w:rsidR="002F200C">
        <w:rPr>
          <w:lang w:eastAsia="en-AU"/>
        </w:rPr>
        <w:t>(Berdahl and McKeague 2015)</w:t>
      </w:r>
      <w:bookmarkEnd w:id="56"/>
      <w:r w:rsidRPr="00D03F63">
        <w:rPr>
          <w:lang w:eastAsia="en-AU"/>
        </w:rPr>
        <w:fldChar w:fldCharType="end"/>
      </w:r>
      <w:r w:rsidRPr="00D03F63">
        <w:rPr>
          <w:lang w:eastAsia="en-AU"/>
        </w:rPr>
        <w:t>. The application specifically refers to the process using food-grade ethanol or acetone. The steps for isolation of the extract are:</w:t>
      </w:r>
    </w:p>
    <w:p w14:paraId="799030E9" w14:textId="77777777" w:rsidR="0049611C" w:rsidRPr="00D03F63" w:rsidRDefault="0049611C" w:rsidP="00D03F63">
      <w:pPr>
        <w:rPr>
          <w:lang w:eastAsia="en-AU"/>
        </w:rPr>
      </w:pPr>
    </w:p>
    <w:p w14:paraId="7A79DA3E"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Rosemary leaves are dried and ground.</w:t>
      </w:r>
    </w:p>
    <w:p w14:paraId="2FB6850B"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Dried leaves are extracted with ethanol or acetone.</w:t>
      </w:r>
    </w:p>
    <w:p w14:paraId="081ACF0A" w14:textId="1170596C"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 xml:space="preserve">The liquid mixture (containing the active components </w:t>
      </w:r>
      <w:r w:rsidR="00E67220">
        <w:rPr>
          <w:rFonts w:eastAsiaTheme="minorHAnsi" w:cstheme="minorBidi"/>
          <w:szCs w:val="22"/>
          <w:lang w:eastAsia="en-AU" w:bidi="ar-SA"/>
        </w:rPr>
        <w:t>carnosol</w:t>
      </w:r>
      <w:r w:rsidRPr="00D03F63">
        <w:rPr>
          <w:rFonts w:eastAsiaTheme="minorHAnsi" w:cstheme="minorBidi"/>
          <w:szCs w:val="22"/>
          <w:lang w:eastAsia="en-AU" w:bidi="ar-SA"/>
        </w:rPr>
        <w:t xml:space="preserve"> and carnosic acid) is separated from the solid residue (leaves) by filtration</w:t>
      </w:r>
      <w:r w:rsidR="0049611C">
        <w:rPr>
          <w:rFonts w:eastAsiaTheme="minorHAnsi" w:cstheme="minorBidi"/>
          <w:szCs w:val="22"/>
          <w:lang w:eastAsia="en-AU" w:bidi="ar-SA"/>
        </w:rPr>
        <w:t>.</w:t>
      </w:r>
    </w:p>
    <w:p w14:paraId="07857686"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Solvents are removed by vacuum-evaporation.</w:t>
      </w:r>
    </w:p>
    <w:p w14:paraId="26209586"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Drying and sieving the resulting solid to produce a dry powder.</w:t>
      </w:r>
    </w:p>
    <w:p w14:paraId="4B14FAEA"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Additional deodorisation and decolourisation are used with approved excipients.</w:t>
      </w:r>
    </w:p>
    <w:p w14:paraId="7EEAB68D" w14:textId="77777777" w:rsidR="00D03F63" w:rsidRPr="00D03F63" w:rsidRDefault="00D03F63" w:rsidP="00A60422">
      <w:pPr>
        <w:widowControl/>
        <w:numPr>
          <w:ilvl w:val="0"/>
          <w:numId w:val="4"/>
        </w:numPr>
        <w:contextualSpacing/>
        <w:rPr>
          <w:rFonts w:eastAsiaTheme="minorHAnsi" w:cstheme="minorBidi"/>
          <w:szCs w:val="22"/>
          <w:lang w:eastAsia="en-AU" w:bidi="ar-SA"/>
        </w:rPr>
      </w:pPr>
      <w:r w:rsidRPr="00D03F63">
        <w:rPr>
          <w:rFonts w:eastAsiaTheme="minorHAnsi" w:cstheme="minorBidi"/>
          <w:szCs w:val="22"/>
          <w:lang w:eastAsia="en-AU" w:bidi="ar-SA"/>
        </w:rPr>
        <w:t xml:space="preserve">The isolated rosemary extract is diluted with approved carriers to the appropriate concentration. </w:t>
      </w:r>
    </w:p>
    <w:p w14:paraId="0D6A2D5F" w14:textId="77777777" w:rsidR="00D03F63" w:rsidRPr="00D03F63" w:rsidRDefault="00D03F63" w:rsidP="00D03F63">
      <w:pPr>
        <w:rPr>
          <w:lang w:eastAsia="en-AU"/>
        </w:rPr>
      </w:pPr>
    </w:p>
    <w:p w14:paraId="3D5B4996" w14:textId="3ED49A32" w:rsidR="00D03F63" w:rsidRPr="00D03F63" w:rsidRDefault="00D03F63" w:rsidP="00D03F63">
      <w:pPr>
        <w:rPr>
          <w:lang w:eastAsia="en-AU"/>
        </w:rPr>
      </w:pPr>
      <w:r w:rsidRPr="00D03F63">
        <w:rPr>
          <w:lang w:eastAsia="en-AU"/>
        </w:rPr>
        <w:t xml:space="preserve">The ethanol and acetone solvent-based extraction method used by the applicant is also described </w:t>
      </w:r>
      <w:r w:rsidR="0083759F">
        <w:rPr>
          <w:lang w:eastAsia="en-AU"/>
        </w:rPr>
        <w:t>by</w:t>
      </w:r>
      <w:r w:rsidR="0083759F" w:rsidRPr="00D03F63">
        <w:rPr>
          <w:lang w:eastAsia="en-AU"/>
        </w:rPr>
        <w:t xml:space="preserve"> </w:t>
      </w:r>
      <w:r w:rsidRPr="00D03F63">
        <w:rPr>
          <w:lang w:eastAsia="en-AU"/>
        </w:rPr>
        <w:t xml:space="preserve">EFSA </w:t>
      </w:r>
      <w:r w:rsidR="00522CDD">
        <w:rPr>
          <w:lang w:eastAsia="en-AU"/>
        </w:rPr>
        <w:fldChar w:fldCharType="begin"/>
      </w:r>
      <w:r w:rsidR="00522CDD">
        <w:rPr>
          <w:lang w:eastAsia="en-AU"/>
        </w:rPr>
        <w:instrText>ADDIN CITAVI.PLACEHOLDER 73bd9a7e-9843-4ec7-b06a-b92d13d36e5a PFBsYWNlaG9sZGVyPg0KICA8QWRkSW5WZXJzaW9uPjUuNS4wLjE8L0FkZEluVmVyc2lvbj4NCiAgPElkPjczYmQ5YTdlLTk4NDMtNGVjNy1iMDZhLWI5MmQxM2QzNmU1YTwvSWQ+DQogIDxFbnRyaWVzPg0KICAgIDxFbnRyeT4NCiAgICAgIDxJZD44Y2I4OWZlNy0zOGE1LTQyNDItYWJjZS01MGRiOTM5NzYyMzI8L0lkPg0KICAgICAgPFJlZmVyZW5jZUlkPmQ0NTdiMDY1LWYwNjMtNGQzZi04ZTdmLTc1YWRhNDY4YWE0Nj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SWQ+ZDQ1N2IwNjUtZjA2My00ZDNmLThlN2YtNzVhZGE0NjhhYTQ2PC9JZD4NCiAgICAgICAgPExvY2F0aW9ucz4NCiAgICAgICAgICA8TG9jYXRpb24+DQogICAgICAgICAgICA8QWRkcmVzcz5odHRwczovL3d3dy5lZnNhLmV1cm9wYS5ldS9lbi9lZnNham91cm5hbC9wdWIvNzIxPC9BZGRyZXNzPg0KICAgICAgICAgICAgPExvY2F0aW9uVHlwZT5FbGVjdHJvbmljQWRkcmVzczwvTG9jYXRpb25UeXBlPg0KICAgICAgICAgIDwvTG9jYXRpb24+DQogICAgICAgIDwvTG9jYXRpb25zPg0KICAgICAgICA8T25saW5lQWRkcmVzcz5odHRwczovL3d3dy5lZnNhLmV1cm9wYS5ldS9lbi9lZnNham91cm5hbC9wdWIvNzIxPC9PbmxpbmVBZGRyZXNzPg0KICAgICAgICA8UGFnZVJhbmdlPjwhW0NEQVRBWzxzcD4NCiAgPG4+MTwvbj4NCiAgPGluPnRydWU8L2luPg0KICA8b3M+MTwvb3M+DQogIDxwcz4xPC9wcz4NCjwvc3A+DQo8ZXA+DQogIDxuPjI5PC9uPg0KICA8aW4+dHJ1ZTwvaW4+DQogIDxvcz4yOTwvb3M+DQogIDxwcz4yOTwvcHM+DQo8L2VwPg0KPG9zPjEtMjk8L29zPl1dPjwvUGFnZVJhbmdlPg0KICAgICAgICA8RW5kUGFnZT4yOTwvRW5kUGFnZT4NCiAgICAgICAgPFN0YXJ0UGFnZT4xPC9TdGFydFBhZ2U+DQogICAgICAgIDxTZXF1ZW5jZU51bWJlcj4xNzwvU2VxdWVuY2VOdW1iZXI+DQogICAgICAgIDxTaG9ydFRpdGxlPkVGU0EgMjAwOCDigJMgVXNlIG9mIHJvc2VtYXJ5IGV4dHJhY3RzPC9TaG9ydFRpdGxlPg0KICAgICAgICA8U3VidGl0bGU+U2NpZW50aWZpYyBPcGluaW9uIG9mIHRoZSBQYW5lbCBvbiBGb29kIEFkZGl0aXZlcywgRmxhdm91cmluZ3MsIFByb2Nlc3NpbmcgQWlkcyBhbmQgTWF0ZXJpYWxzIGluIENvbnRhY3Qgd2l0aCBGb29kPC9TdWJ0aXRsZT4NCiAgICAgICAgPFRpdGxlPlVzZSBvZiByb3NlbWFyeSBleHRyYWN0cyBhcyBhIGZvb2QgYWRkaXRpdmU8L1RpdGxlPg0KICAgICAgICA8Vm9sdW1lPjcyMTwvVm9sdW1lPg0KICAgICAgICA8WWVhcj4yMDA4PC9ZZWFyPg0KICAgICAgPC9SZWZlcmVuY2U+DQogICAgPC9FbnRyeT4NCiAgPC9FbnRyaWVzPg0KICA8VGV4dD4oRUZTQS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UZTQSAyMDA4KTwvVGV4dD4NCiAgICA8L1RleHRVbml0Pg0KICA8L1RleHRVbml0cz4NCjwvUGxhY2Vob2xkZXI+</w:instrText>
      </w:r>
      <w:r w:rsidR="00522CDD">
        <w:rPr>
          <w:lang w:eastAsia="en-AU"/>
        </w:rPr>
        <w:fldChar w:fldCharType="separate"/>
      </w:r>
      <w:bookmarkStart w:id="57" w:name="_CTVP00173bd9a7e98434ec7b06ab92d13d36e5a"/>
      <w:r w:rsidR="002F200C">
        <w:rPr>
          <w:lang w:eastAsia="en-AU"/>
        </w:rPr>
        <w:t>(EFSA 2008)</w:t>
      </w:r>
      <w:bookmarkEnd w:id="57"/>
      <w:r w:rsidR="00522CDD">
        <w:rPr>
          <w:lang w:eastAsia="en-AU"/>
        </w:rPr>
        <w:fldChar w:fldCharType="end"/>
      </w:r>
      <w:r w:rsidR="00522CDD">
        <w:rPr>
          <w:lang w:eastAsia="en-AU"/>
        </w:rPr>
        <w:t xml:space="preserve"> </w:t>
      </w:r>
      <w:r w:rsidRPr="00D03F63">
        <w:rPr>
          <w:lang w:eastAsia="en-AU"/>
        </w:rPr>
        <w:t>and in the Chemical and Technical Assessment for rosemary extract published by JECFA (JECFA 2016).</w:t>
      </w:r>
    </w:p>
    <w:p w14:paraId="7222E28B" w14:textId="2AEA2F89" w:rsidR="00D03F63" w:rsidRPr="00D03F63" w:rsidRDefault="00D03F63" w:rsidP="005137FA">
      <w:pPr>
        <w:pStyle w:val="Heading3"/>
      </w:pPr>
      <w:bookmarkStart w:id="58" w:name="_Toc516056527"/>
      <w:bookmarkStart w:id="59" w:name="_Toc517709873"/>
      <w:bookmarkStart w:id="60" w:name="_Toc518388273"/>
      <w:bookmarkStart w:id="61" w:name="_Toc526498362"/>
      <w:r w:rsidRPr="00D03F63">
        <w:t>2.3.2</w:t>
      </w:r>
      <w:r w:rsidRPr="00D03F63">
        <w:tab/>
        <w:t>Product specification</w:t>
      </w:r>
      <w:bookmarkEnd w:id="58"/>
      <w:bookmarkEnd w:id="59"/>
      <w:bookmarkEnd w:id="60"/>
      <w:bookmarkEnd w:id="61"/>
    </w:p>
    <w:p w14:paraId="3F59F3A5" w14:textId="7401593F" w:rsidR="00D03F63" w:rsidRPr="00D03F63" w:rsidRDefault="00D03F63" w:rsidP="00D03F63">
      <w:r w:rsidRPr="00D03F63">
        <w:t xml:space="preserve">Subsection 1.1.1—15(2) of the Code requires that a substance used as a food additive (paragraph 1.1.1—15(1)(a)) must comply with a relevant specification in Schedule 3 – Identity and purity. United States Pharmacopeial Convention (2017) Food Chemicals Codex (FCC), which is a primary source of specifications, contains a specification for rosemary extract </w:t>
      </w:r>
      <w:r w:rsidRPr="00D03F63">
        <w:fldChar w:fldCharType="begin"/>
      </w:r>
      <w:r w:rsidRPr="00D03F63">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rsidRPr="00D03F63">
        <w:fldChar w:fldCharType="separate"/>
      </w:r>
      <w:bookmarkStart w:id="62" w:name="_CTVP001d43547aea41344b3aa9599f31483f509"/>
      <w:r w:rsidR="002F200C">
        <w:t>(FCC 2016)</w:t>
      </w:r>
      <w:bookmarkEnd w:id="62"/>
      <w:r w:rsidRPr="00D03F63">
        <w:fldChar w:fldCharType="end"/>
      </w:r>
      <w:r w:rsidRPr="00D03F63">
        <w:t>. Therefore</w:t>
      </w:r>
      <w:r w:rsidR="0083759F">
        <w:t>,</w:t>
      </w:r>
      <w:r w:rsidRPr="00D03F63">
        <w:t xml:space="preserve"> no specification would be needed to be i</w:t>
      </w:r>
      <w:r w:rsidR="002D5665">
        <w:t>ncluded in Schedule 3. If this a</w:t>
      </w:r>
      <w:r w:rsidRPr="00D03F63">
        <w:t xml:space="preserve">pplication is </w:t>
      </w:r>
      <w:r w:rsidR="002D5665">
        <w:t xml:space="preserve">approved, </w:t>
      </w:r>
      <w:r w:rsidRPr="00D03F63">
        <w:t>the commercial preparation of rosemary extract for use as an antioxidant would need to comply with the identity and purity requirements of the FCC specification.</w:t>
      </w:r>
    </w:p>
    <w:p w14:paraId="78E4D23C" w14:textId="77777777" w:rsidR="00D03F63" w:rsidRPr="00D03F63" w:rsidRDefault="00D03F63" w:rsidP="00D03F63">
      <w:pPr>
        <w:rPr>
          <w:lang w:eastAsia="en-AU"/>
        </w:rPr>
      </w:pPr>
    </w:p>
    <w:p w14:paraId="7D624B11" w14:textId="616BD35E" w:rsidR="00D03F63" w:rsidRDefault="008F66D7" w:rsidP="00D03F63">
      <w:r>
        <w:rPr>
          <w:lang w:eastAsia="en-AU"/>
        </w:rPr>
        <w:t>Table 2.3</w:t>
      </w:r>
      <w:r w:rsidR="00D03F63" w:rsidRPr="00D03F63">
        <w:rPr>
          <w:lang w:eastAsia="en-AU"/>
        </w:rPr>
        <w:t xml:space="preserve"> shows the proposed specifications for rosemary extract provided in the application. The specifications are based on those listed in Codex </w:t>
      </w:r>
      <w:r w:rsidR="002D5665">
        <w:rPr>
          <w:lang w:eastAsia="en-AU"/>
        </w:rPr>
        <w:t xml:space="preserve">(FCC 2016) </w:t>
      </w:r>
      <w:r w:rsidR="00D03F63" w:rsidRPr="00D03F63">
        <w:rPr>
          <w:lang w:eastAsia="en-AU"/>
        </w:rPr>
        <w:t xml:space="preserve">and in the </w:t>
      </w:r>
      <w:r w:rsidR="00D03F63" w:rsidRPr="00D03F63">
        <w:t>FAO / WHO Rosemary Extract (Tentative) Monograph (</w:t>
      </w:r>
      <w:r w:rsidR="00522CDD">
        <w:t xml:space="preserve">WHO </w:t>
      </w:r>
      <w:r w:rsidR="00D03F63" w:rsidRPr="00D03F63">
        <w:t>201</w:t>
      </w:r>
      <w:r w:rsidR="00522CDD">
        <w:t>7</w:t>
      </w:r>
      <w:r w:rsidR="00D03F63" w:rsidRPr="00D03F63">
        <w:t xml:space="preserve">). A final JECFA specification for rosemary extract is expected upon completion of the assessment of the reproductive and </w:t>
      </w:r>
      <w:r w:rsidR="00D03F63" w:rsidRPr="00D03F63">
        <w:lastRenderedPageBreak/>
        <w:t>developmental toxicology data (</w:t>
      </w:r>
      <w:r w:rsidR="00620642" w:rsidRPr="00620642">
        <w:t>See Section 3</w:t>
      </w:r>
      <w:r w:rsidR="002D5665">
        <w:t>.3.1</w:t>
      </w:r>
      <w:r w:rsidR="00D03F63" w:rsidRPr="00D03F63">
        <w:t xml:space="preserve">). Specifications for rosemary extract isolated by ethanol or acetone extraction are also set in Commission Regulation (EU) No 231/2012 </w:t>
      </w:r>
      <w:r w:rsidR="00D03F63" w:rsidRPr="00D03F63">
        <w:fldChar w:fldCharType="begin"/>
      </w:r>
      <w:r w:rsidR="00D03F63" w:rsidRPr="00D03F63">
        <w:instrText>ADDIN CITAVI.PLACEHOLDER bef6354a-89d5-445d-95e0-fa6c7a5ac7f7 PFBsYWNlaG9sZGVyPg0KICA8QWRkSW5WZXJzaW9uPjUuNS4wLjE8L0FkZEluVmVyc2lvbj4NCiAgPElkPmJlZjYzNTRhLTg5ZDUtNDQ1ZC05NWUwLWZhNmM3YTVhYzdmNzwvSWQ+DQogIDxFbnRyaWVzPg0KICAgIDxFbnRyeT4NCiAgICAgIDxJZD5lMzMzM2I0Ny0yOWUyLTQ4MmQtYjQ1NS0xYzE4MTQ4YTlkNTg8L0lkPg0KICAgICAgPFJlZmVyZW5jZUlkPjg0MmJiYTQyLWM5MzktNDk5Mi04NWNlLTU4NjBlZWVmMDBlZTwvUmVmZXJlbmNlSWQ+DQogICAgICA8UmFuZ2U+DQogICAgICAgIDxTdGFydD4wPC9TdGFydD4NCiAgICAgICAgPExlbmd0aD4yMTwvTGVuZ3RoPg0KICAgICAgPC9SYW5nZT4NCiAgICAgIDxSZWZlcmVuY2U+DQogICAgICAgIDxSZWZlcmVuY2VUeXBlSWQ+U3RhdHV0ZU9yUmVndWxhdGlvbjwvUmVmZXJlbmNlVHlwZUlkPg0KICAgICAgICA8QWNjZXNzRGF0ZT40IEp1bmUgMjAxODwvQWNjZXNzRGF0ZT4NCiAgICAgICAgPERhdGU+MjAxMjwvRGF0ZT4NCiAgICAgICAgPElkPjg0MmJiYTQyLWM5MzktNDk5Mi04NWNlLTU4NjBlZWVmMDBlZTwvSWQ+DQogICAgICAgIDxMb2NhdGlvbnM+DQogICAgICAgICAgPExvY2F0aW9uPg0KICAgICAgICAgICAgPEFkZHJlc3M+aHR0cHM6Ly9wdWJsaWNhdGlvbnMuZXVyb3BhLmV1L2VuL3B1YmxpY2F0aW9uLWRldGFpbC8tL3B1YmxpY2F0aW9uL2E0MmRkOWIyLWI2M2YtNDM4Yi1hNzkwLTFmYTU5OTViN2Q0MS9sYW5ndWFnZS1lbjwvQWRkcmVzcz4NCiAgICAgICAgICAgIDxMb2NhdGlvblR5cGU+RWxlY3Ryb25pY0FkZHJlc3M8L0xvY2F0aW9uVHlwZT4NCiAgICAgICAgICA8L0xvY2F0aW9uPg0KICAgICAgICA8L0xvY2F0aW9ucz4NCiAgICAgICAgPE9ubGluZUFkZHJlc3M+aHR0cHM6Ly9wdWJsaWNhdGlvbnMuZXVyb3BhLmV1L2VuL3B1YmxpY2F0aW9uLWRldGFpbC8tL3B1YmxpY2F0aW9uL2E0MmRkOWIyLWI2M2YtNDM4Yi1hNzkwLTFmYTU5OTViN2Q0MS9sYW5ndWFnZS1lbjwvT25saW5lQWRkcmVzcz4NCiAgICAgICAgPE9yZ2FuaXphdGlvbnM+DQogICAgICAgICAgPFBlcnNvbj4NCiAgICAgICAgICAgIDxMYXN0TmFtZT5FdXJvcGVhbiBVbmlvbjwvTGFzdE5hbWU+DQogICAgICAgICAgPC9QZXJzb24+DQogICAgICAgIDwvT3JnYW5pemF0aW9ucz4NCiAgICAgICAgPFNlcXVlbmNlTnVtYmVyPjE5PC9TZXF1ZW5jZU51bWJlcj4NCiAgICAgICAgPFNob3J0VGl0bGU+RXVyb3BlYW4gVW5pb24gMjAxMiDigJMgQ09NTUlTU0lPTiBSRUdVTEFUSU9OIEVVIE5vIDIzMS8yMDEyPC9TaG9ydFRpdGxlPg0KICAgICAgICA8VGl0bGU+Q09NTUlTU0lPTiBSRUdVTEFUSU9OIChFVSkgTm8gMjMxLzIwMTI8L1RpdGxlPg0KICAgICAgPC9SZWZlcmVuY2U+DQogICAgPC9FbnRyeT4NCiAgPC9FbnRyaWVzPg0KICA8VGV4dD4oRXVyb3BlYW4gVW5pb24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1cm9wZWFuIFVuaW9uIDIwMTIpPC9UZXh0Pg0KICAgIDwvVGV4dFVuaXQ+DQogIDwvVGV4dFVuaXRzPg0KPC9QbGFjZWhvbGRlcj4=</w:instrText>
      </w:r>
      <w:r w:rsidR="00D03F63" w:rsidRPr="00D03F63">
        <w:fldChar w:fldCharType="separate"/>
      </w:r>
      <w:bookmarkStart w:id="63" w:name="_CTVP001bef6354a89d5445d95e0fa6c7a5ac7f7"/>
      <w:r w:rsidR="002F200C">
        <w:t>(European Union 2012)</w:t>
      </w:r>
      <w:bookmarkEnd w:id="63"/>
      <w:r w:rsidR="00D03F63" w:rsidRPr="00D03F63">
        <w:fldChar w:fldCharType="end"/>
      </w:r>
      <w:r w:rsidR="00D03F63" w:rsidRPr="00D03F63">
        <w:t xml:space="preserve">. </w:t>
      </w:r>
    </w:p>
    <w:p w14:paraId="43F6A80D" w14:textId="539B2563" w:rsidR="00EB6AB8" w:rsidRDefault="00EB6AB8" w:rsidP="00D03F63"/>
    <w:p w14:paraId="3FBB652D" w14:textId="77777777" w:rsidR="00EB6AB8" w:rsidRPr="00BD2527" w:rsidRDefault="00EB6AB8" w:rsidP="00BD2527">
      <w:pPr>
        <w:pStyle w:val="FSTableTitle"/>
        <w:spacing w:after="120"/>
        <w:rPr>
          <w:rFonts w:eastAsiaTheme="minorHAnsi"/>
          <w:i/>
          <w:lang w:bidi="ar-SA"/>
        </w:rPr>
      </w:pPr>
      <w:r w:rsidRPr="00BD2527">
        <w:rPr>
          <w:rFonts w:eastAsiaTheme="minorHAnsi"/>
          <w:i/>
          <w:lang w:bidi="ar-SA"/>
        </w:rPr>
        <w:t>Table 2.3</w:t>
      </w:r>
      <w:r w:rsidRPr="00BD2527">
        <w:rPr>
          <w:rFonts w:eastAsiaTheme="minorHAnsi"/>
          <w:i/>
          <w:lang w:bidi="ar-SA"/>
        </w:rPr>
        <w:tab/>
        <w:t>Proposed specification for antioxidant rosemary extracts</w:t>
      </w:r>
      <w:r w:rsidRPr="00BD2527">
        <w:rPr>
          <w:rFonts w:eastAsiaTheme="minorHAnsi"/>
          <w:i/>
          <w:vertAlign w:val="superscript"/>
          <w:lang w:bidi="ar-SA"/>
        </w:rPr>
        <w:t>1</w:t>
      </w:r>
    </w:p>
    <w:tbl>
      <w:tblPr>
        <w:tblStyle w:val="TableGrid1"/>
        <w:tblW w:w="0" w:type="auto"/>
        <w:tblLook w:val="04A0" w:firstRow="1" w:lastRow="0" w:firstColumn="1" w:lastColumn="0" w:noHBand="0" w:noVBand="1"/>
        <w:tblCaption w:val="Proposed specification for antioxidant rosemary extracts"/>
        <w:tblDescription w:val="Column one lists parameters included in the specification and column 2 lists the requirement for that parameter"/>
      </w:tblPr>
      <w:tblGrid>
        <w:gridCol w:w="2284"/>
        <w:gridCol w:w="6776"/>
      </w:tblGrid>
      <w:tr w:rsidR="00EB6AB8" w:rsidRPr="00D03F63" w14:paraId="73E058CB" w14:textId="77777777" w:rsidTr="00EB6AB8">
        <w:trPr>
          <w:trHeight w:val="340"/>
        </w:trPr>
        <w:tc>
          <w:tcPr>
            <w:tcW w:w="2263" w:type="dxa"/>
            <w:vAlign w:val="center"/>
          </w:tcPr>
          <w:p w14:paraId="132549B7" w14:textId="77777777" w:rsidR="00EB6AB8" w:rsidRPr="00D03F63" w:rsidRDefault="00EB6AB8" w:rsidP="00EB6AB8">
            <w:pPr>
              <w:pStyle w:val="FSTableHeading"/>
              <w:rPr>
                <w:lang w:eastAsia="en-AU"/>
              </w:rPr>
            </w:pPr>
            <w:r w:rsidRPr="00D03F63">
              <w:rPr>
                <w:lang w:eastAsia="en-AU"/>
              </w:rPr>
              <w:t>Parameter</w:t>
            </w:r>
          </w:p>
        </w:tc>
        <w:tc>
          <w:tcPr>
            <w:tcW w:w="6797" w:type="dxa"/>
            <w:vAlign w:val="center"/>
          </w:tcPr>
          <w:p w14:paraId="1889A735" w14:textId="77777777" w:rsidR="00EB6AB8" w:rsidRPr="00D03F63" w:rsidRDefault="00EB6AB8" w:rsidP="00EB6AB8">
            <w:pPr>
              <w:pStyle w:val="FSTableHeading"/>
              <w:rPr>
                <w:lang w:eastAsia="en-AU"/>
              </w:rPr>
            </w:pPr>
            <w:r w:rsidRPr="00D03F63">
              <w:rPr>
                <w:lang w:eastAsia="en-AU"/>
              </w:rPr>
              <w:t>Requirement</w:t>
            </w:r>
          </w:p>
        </w:tc>
      </w:tr>
      <w:tr w:rsidR="00EB6AB8" w:rsidRPr="00D03F63" w14:paraId="620EAAA8" w14:textId="77777777" w:rsidTr="00EB6AB8">
        <w:trPr>
          <w:trHeight w:val="340"/>
        </w:trPr>
        <w:tc>
          <w:tcPr>
            <w:tcW w:w="2263" w:type="dxa"/>
            <w:vAlign w:val="center"/>
          </w:tcPr>
          <w:p w14:paraId="00BB5AF6" w14:textId="77777777" w:rsidR="00EB6AB8" w:rsidRPr="00D03F63" w:rsidRDefault="00EB6AB8" w:rsidP="00EB6AB8">
            <w:pPr>
              <w:rPr>
                <w:rFonts w:cs="Arial"/>
                <w:sz w:val="20"/>
                <w:szCs w:val="20"/>
                <w:lang w:eastAsia="en-AU"/>
              </w:rPr>
            </w:pPr>
            <w:r w:rsidRPr="00D03F63">
              <w:rPr>
                <w:rFonts w:cs="Arial"/>
                <w:sz w:val="20"/>
                <w:szCs w:val="20"/>
                <w:lang w:eastAsia="en-AU"/>
              </w:rPr>
              <w:t>Description</w:t>
            </w:r>
          </w:p>
        </w:tc>
        <w:tc>
          <w:tcPr>
            <w:tcW w:w="6797" w:type="dxa"/>
            <w:vAlign w:val="center"/>
          </w:tcPr>
          <w:p w14:paraId="2E9D428B" w14:textId="77777777" w:rsidR="00EB6AB8" w:rsidRPr="00D03F63" w:rsidRDefault="00EB6AB8" w:rsidP="00EB6AB8">
            <w:pPr>
              <w:rPr>
                <w:rFonts w:cs="Arial"/>
                <w:sz w:val="20"/>
                <w:szCs w:val="20"/>
                <w:lang w:eastAsia="en-AU"/>
              </w:rPr>
            </w:pPr>
            <w:r w:rsidRPr="00D03F63">
              <w:rPr>
                <w:rFonts w:cs="Arial"/>
                <w:sz w:val="20"/>
                <w:szCs w:val="20"/>
                <w:lang w:eastAsia="en-AU"/>
              </w:rPr>
              <w:t>Beige to light brown powder</w:t>
            </w:r>
          </w:p>
        </w:tc>
      </w:tr>
      <w:tr w:rsidR="00EB6AB8" w:rsidRPr="00D03F63" w14:paraId="005359B9" w14:textId="77777777" w:rsidTr="00EB6AB8">
        <w:trPr>
          <w:trHeight w:val="340"/>
        </w:trPr>
        <w:tc>
          <w:tcPr>
            <w:tcW w:w="2263" w:type="dxa"/>
            <w:vAlign w:val="center"/>
          </w:tcPr>
          <w:p w14:paraId="67B5E468" w14:textId="77777777" w:rsidR="00EB6AB8" w:rsidRPr="00D03F63" w:rsidRDefault="00EB6AB8" w:rsidP="00EB6AB8">
            <w:pPr>
              <w:rPr>
                <w:rFonts w:cs="Arial"/>
                <w:sz w:val="20"/>
                <w:szCs w:val="20"/>
                <w:lang w:eastAsia="en-AU"/>
              </w:rPr>
            </w:pPr>
            <w:r w:rsidRPr="00D03F63">
              <w:rPr>
                <w:rFonts w:cs="Arial"/>
                <w:sz w:val="20"/>
                <w:szCs w:val="20"/>
                <w:lang w:eastAsia="en-AU"/>
              </w:rPr>
              <w:t>Assay</w:t>
            </w:r>
          </w:p>
        </w:tc>
        <w:tc>
          <w:tcPr>
            <w:tcW w:w="6797" w:type="dxa"/>
            <w:vAlign w:val="center"/>
          </w:tcPr>
          <w:p w14:paraId="48084532" w14:textId="77777777" w:rsidR="00EB6AB8" w:rsidRPr="00D03F63" w:rsidRDefault="00EB6AB8" w:rsidP="00EB6AB8">
            <w:pPr>
              <w:widowControl/>
              <w:autoSpaceDE w:val="0"/>
              <w:autoSpaceDN w:val="0"/>
              <w:adjustRightInd w:val="0"/>
              <w:rPr>
                <w:rFonts w:eastAsiaTheme="minorHAnsi" w:cs="Arial"/>
                <w:color w:val="000000"/>
                <w:sz w:val="20"/>
                <w:szCs w:val="20"/>
                <w:lang w:bidi="ar-SA"/>
              </w:rPr>
            </w:pPr>
            <w:r w:rsidRPr="00D03F63">
              <w:rPr>
                <w:rFonts w:eastAsiaTheme="minorHAnsi" w:cs="Arial"/>
                <w:color w:val="000000"/>
                <w:sz w:val="20"/>
                <w:szCs w:val="20"/>
                <w:lang w:bidi="ar-SA"/>
              </w:rPr>
              <w:t>No</w:t>
            </w:r>
            <w:r>
              <w:rPr>
                <w:rFonts w:eastAsiaTheme="minorHAnsi" w:cs="Arial"/>
                <w:color w:val="000000"/>
                <w:sz w:val="20"/>
                <w:szCs w:val="20"/>
                <w:lang w:bidi="ar-SA"/>
              </w:rPr>
              <w:t>t less than 5% of the total carnosic acid</w:t>
            </w:r>
            <w:r w:rsidRPr="00D03F63">
              <w:rPr>
                <w:rFonts w:eastAsiaTheme="minorHAnsi" w:cs="Arial"/>
                <w:color w:val="000000"/>
                <w:sz w:val="20"/>
                <w:szCs w:val="20"/>
                <w:lang w:bidi="ar-SA"/>
              </w:rPr>
              <w:t xml:space="preserve"> </w:t>
            </w:r>
            <w:r>
              <w:rPr>
                <w:rFonts w:eastAsiaTheme="minorHAnsi" w:cs="Arial"/>
                <w:color w:val="000000"/>
                <w:sz w:val="20"/>
                <w:szCs w:val="20"/>
                <w:lang w:bidi="ar-SA"/>
              </w:rPr>
              <w:t>plus carnosol</w:t>
            </w:r>
          </w:p>
        </w:tc>
      </w:tr>
      <w:tr w:rsidR="00EB6AB8" w:rsidRPr="00D03F63" w14:paraId="78DA359F" w14:textId="77777777" w:rsidTr="00EB6AB8">
        <w:trPr>
          <w:trHeight w:val="340"/>
        </w:trPr>
        <w:tc>
          <w:tcPr>
            <w:tcW w:w="2263" w:type="dxa"/>
            <w:vAlign w:val="center"/>
          </w:tcPr>
          <w:p w14:paraId="18A5B76C" w14:textId="77777777" w:rsidR="00EB6AB8" w:rsidRPr="00D03F63" w:rsidRDefault="00EB6AB8" w:rsidP="00EB6AB8">
            <w:pPr>
              <w:rPr>
                <w:rFonts w:cs="Arial"/>
                <w:sz w:val="20"/>
                <w:szCs w:val="20"/>
                <w:lang w:eastAsia="en-AU"/>
              </w:rPr>
            </w:pPr>
            <w:r w:rsidRPr="00D03F63">
              <w:rPr>
                <w:rFonts w:cs="Arial"/>
                <w:sz w:val="20"/>
                <w:szCs w:val="20"/>
                <w:lang w:eastAsia="en-AU"/>
              </w:rPr>
              <w:t>Solubility</w:t>
            </w:r>
          </w:p>
        </w:tc>
        <w:tc>
          <w:tcPr>
            <w:tcW w:w="6797" w:type="dxa"/>
            <w:vAlign w:val="center"/>
          </w:tcPr>
          <w:p w14:paraId="287A59F8" w14:textId="77777777" w:rsidR="00EB6AB8" w:rsidRPr="00D03F63" w:rsidRDefault="00EB6AB8" w:rsidP="00EB6AB8">
            <w:pPr>
              <w:rPr>
                <w:rFonts w:cs="Arial"/>
                <w:sz w:val="20"/>
                <w:szCs w:val="20"/>
                <w:lang w:eastAsia="en-AU"/>
              </w:rPr>
            </w:pPr>
            <w:r w:rsidRPr="00D03F63">
              <w:rPr>
                <w:rFonts w:cs="Arial"/>
                <w:sz w:val="20"/>
                <w:szCs w:val="20"/>
                <w:lang w:eastAsia="en-AU"/>
              </w:rPr>
              <w:t>Insoluble in water; soluble in oil</w:t>
            </w:r>
          </w:p>
        </w:tc>
      </w:tr>
      <w:tr w:rsidR="00EB6AB8" w:rsidRPr="00D03F63" w14:paraId="4EFDB261" w14:textId="77777777" w:rsidTr="00EB6AB8">
        <w:trPr>
          <w:trHeight w:val="340"/>
        </w:trPr>
        <w:tc>
          <w:tcPr>
            <w:tcW w:w="2263" w:type="dxa"/>
            <w:vAlign w:val="center"/>
          </w:tcPr>
          <w:p w14:paraId="6647FF75" w14:textId="77777777" w:rsidR="00EB6AB8" w:rsidRPr="00D03F63" w:rsidRDefault="00EB6AB8" w:rsidP="00EB6AB8">
            <w:pPr>
              <w:rPr>
                <w:rFonts w:cs="Arial"/>
                <w:sz w:val="20"/>
                <w:szCs w:val="20"/>
                <w:lang w:eastAsia="en-AU"/>
              </w:rPr>
            </w:pPr>
            <w:r w:rsidRPr="00D03F63">
              <w:rPr>
                <w:rFonts w:cs="Arial"/>
                <w:sz w:val="20"/>
                <w:szCs w:val="20"/>
                <w:lang w:eastAsia="en-AU"/>
              </w:rPr>
              <w:t>Antioxidants/Reference volatiles Ratio</w:t>
            </w:r>
          </w:p>
        </w:tc>
        <w:tc>
          <w:tcPr>
            <w:tcW w:w="6797" w:type="dxa"/>
            <w:vAlign w:val="center"/>
          </w:tcPr>
          <w:p w14:paraId="73201E84" w14:textId="77777777" w:rsidR="00EB6AB8" w:rsidRPr="00D03F63" w:rsidRDefault="00EB6AB8" w:rsidP="00EB6AB8">
            <w:pPr>
              <w:rPr>
                <w:rFonts w:cs="Arial"/>
                <w:sz w:val="20"/>
                <w:szCs w:val="20"/>
                <w:lang w:eastAsia="en-AU"/>
              </w:rPr>
            </w:pPr>
            <w:r>
              <w:rPr>
                <w:rFonts w:cs="Arial"/>
                <w:sz w:val="20"/>
                <w:szCs w:val="20"/>
                <w:lang w:eastAsia="en-AU"/>
              </w:rPr>
              <w:t>Total % carnosic acid plus carnosol</w:t>
            </w:r>
            <w:r w:rsidRPr="00D03F63">
              <w:rPr>
                <w:rFonts w:cs="Arial"/>
                <w:sz w:val="20"/>
                <w:szCs w:val="20"/>
                <w:lang w:eastAsia="en-AU"/>
              </w:rPr>
              <w:t>/Total % Reference volatiles ≥ 15</w:t>
            </w:r>
          </w:p>
          <w:p w14:paraId="323FA730" w14:textId="77777777" w:rsidR="00EB6AB8" w:rsidRPr="00D03F63" w:rsidRDefault="00EB6AB8" w:rsidP="00EB6AB8">
            <w:pPr>
              <w:rPr>
                <w:rFonts w:cs="Arial"/>
                <w:sz w:val="20"/>
                <w:szCs w:val="20"/>
                <w:lang w:eastAsia="en-AU"/>
              </w:rPr>
            </w:pPr>
            <w:r w:rsidRPr="00D03F63">
              <w:rPr>
                <w:rFonts w:cs="Arial"/>
                <w:sz w:val="20"/>
                <w:szCs w:val="20"/>
                <w:lang w:eastAsia="en-AU"/>
              </w:rPr>
              <w:t>Reference volatiles =  (-)-borneol, (-)-bornyl acetate, (-)-camphor, 1,8-Cineole (eucalyptol) and verbenone</w:t>
            </w:r>
          </w:p>
        </w:tc>
      </w:tr>
      <w:tr w:rsidR="00EB6AB8" w:rsidRPr="00D03F63" w14:paraId="7C8DF884" w14:textId="77777777" w:rsidTr="00EB6AB8">
        <w:trPr>
          <w:trHeight w:val="340"/>
        </w:trPr>
        <w:tc>
          <w:tcPr>
            <w:tcW w:w="2263" w:type="dxa"/>
            <w:vAlign w:val="center"/>
          </w:tcPr>
          <w:p w14:paraId="75B11A30" w14:textId="77777777" w:rsidR="00EB6AB8" w:rsidRPr="00D03F63" w:rsidRDefault="00EB6AB8" w:rsidP="00EB6AB8">
            <w:pPr>
              <w:rPr>
                <w:rFonts w:cs="Arial"/>
                <w:sz w:val="20"/>
                <w:szCs w:val="20"/>
                <w:lang w:eastAsia="en-AU"/>
              </w:rPr>
            </w:pPr>
            <w:r w:rsidRPr="00D03F63">
              <w:rPr>
                <w:rFonts w:cs="Arial"/>
                <w:sz w:val="20"/>
                <w:szCs w:val="20"/>
                <w:lang w:eastAsia="en-AU"/>
              </w:rPr>
              <w:t>Loss on drying</w:t>
            </w:r>
          </w:p>
        </w:tc>
        <w:tc>
          <w:tcPr>
            <w:tcW w:w="6797" w:type="dxa"/>
            <w:vAlign w:val="center"/>
          </w:tcPr>
          <w:p w14:paraId="2646934F" w14:textId="77777777" w:rsidR="00EB6AB8" w:rsidRPr="00D03F63" w:rsidRDefault="00EB6AB8" w:rsidP="00EB6AB8">
            <w:pPr>
              <w:rPr>
                <w:rFonts w:cs="Arial"/>
                <w:sz w:val="20"/>
                <w:szCs w:val="20"/>
                <w:lang w:eastAsia="en-AU"/>
              </w:rPr>
            </w:pPr>
            <w:r w:rsidRPr="00D03F63">
              <w:rPr>
                <w:rFonts w:cs="Arial"/>
                <w:sz w:val="20"/>
                <w:szCs w:val="20"/>
                <w:lang w:eastAsia="en-AU"/>
              </w:rPr>
              <w:t xml:space="preserve">Not more than 5% </w:t>
            </w:r>
          </w:p>
        </w:tc>
      </w:tr>
      <w:tr w:rsidR="00EB6AB8" w:rsidRPr="00D03F63" w14:paraId="50ABCD6D" w14:textId="77777777" w:rsidTr="00EB6AB8">
        <w:trPr>
          <w:trHeight w:val="340"/>
        </w:trPr>
        <w:tc>
          <w:tcPr>
            <w:tcW w:w="2263" w:type="dxa"/>
            <w:vAlign w:val="center"/>
          </w:tcPr>
          <w:p w14:paraId="6D83D058" w14:textId="77777777" w:rsidR="00EB6AB8" w:rsidRPr="00D03F63" w:rsidRDefault="00EB6AB8" w:rsidP="00EB6AB8">
            <w:pPr>
              <w:rPr>
                <w:rFonts w:cs="Arial"/>
                <w:sz w:val="20"/>
                <w:szCs w:val="20"/>
                <w:lang w:eastAsia="en-AU"/>
              </w:rPr>
            </w:pPr>
            <w:r w:rsidRPr="00D03F63">
              <w:rPr>
                <w:rFonts w:cs="Arial"/>
                <w:sz w:val="20"/>
                <w:szCs w:val="20"/>
                <w:lang w:eastAsia="en-AU"/>
              </w:rPr>
              <w:t>Residual solvents</w:t>
            </w:r>
          </w:p>
        </w:tc>
        <w:tc>
          <w:tcPr>
            <w:tcW w:w="6797" w:type="dxa"/>
            <w:vAlign w:val="center"/>
          </w:tcPr>
          <w:p w14:paraId="74DCAB7D" w14:textId="77777777" w:rsidR="00EB6AB8" w:rsidRPr="00D03F63" w:rsidRDefault="00EB6AB8" w:rsidP="00EB6AB8">
            <w:pPr>
              <w:rPr>
                <w:rFonts w:cs="Arial"/>
                <w:sz w:val="20"/>
                <w:szCs w:val="20"/>
                <w:lang w:eastAsia="en-AU"/>
              </w:rPr>
            </w:pPr>
            <w:r w:rsidRPr="00D03F63">
              <w:rPr>
                <w:rFonts w:cs="Arial"/>
                <w:sz w:val="20"/>
                <w:szCs w:val="20"/>
                <w:lang w:eastAsia="en-AU"/>
              </w:rPr>
              <w:t xml:space="preserve">Acetone ≤ 50 mg/kg, Ethanol ≤ 500 mg/kg </w:t>
            </w:r>
          </w:p>
        </w:tc>
      </w:tr>
      <w:tr w:rsidR="00EB6AB8" w:rsidRPr="00D03F63" w14:paraId="61896EDE" w14:textId="77777777" w:rsidTr="00EB6AB8">
        <w:trPr>
          <w:trHeight w:val="340"/>
        </w:trPr>
        <w:tc>
          <w:tcPr>
            <w:tcW w:w="2263" w:type="dxa"/>
            <w:vAlign w:val="center"/>
          </w:tcPr>
          <w:p w14:paraId="69F4A18B" w14:textId="77777777" w:rsidR="00EB6AB8" w:rsidRPr="00D03F63" w:rsidRDefault="00EB6AB8" w:rsidP="00EB6AB8">
            <w:pPr>
              <w:rPr>
                <w:rFonts w:cs="Arial"/>
                <w:sz w:val="20"/>
                <w:szCs w:val="20"/>
                <w:lang w:eastAsia="en-AU"/>
              </w:rPr>
            </w:pPr>
            <w:r w:rsidRPr="00D03F63">
              <w:rPr>
                <w:rFonts w:cs="Arial"/>
                <w:sz w:val="20"/>
                <w:szCs w:val="20"/>
                <w:lang w:eastAsia="en-AU"/>
              </w:rPr>
              <w:t xml:space="preserve">Heavy metals  </w:t>
            </w:r>
          </w:p>
        </w:tc>
        <w:tc>
          <w:tcPr>
            <w:tcW w:w="6797" w:type="dxa"/>
            <w:vAlign w:val="center"/>
          </w:tcPr>
          <w:p w14:paraId="68E62E41" w14:textId="77777777" w:rsidR="00EB6AB8" w:rsidRPr="00D03F63" w:rsidRDefault="00EB6AB8" w:rsidP="00EB6AB8">
            <w:pPr>
              <w:rPr>
                <w:rFonts w:cs="Arial"/>
                <w:sz w:val="20"/>
                <w:szCs w:val="20"/>
                <w:lang w:eastAsia="en-AU"/>
              </w:rPr>
            </w:pPr>
            <w:r w:rsidRPr="00D03F63">
              <w:rPr>
                <w:rFonts w:cs="Arial"/>
                <w:sz w:val="20"/>
                <w:szCs w:val="20"/>
                <w:lang w:eastAsia="en-AU"/>
              </w:rPr>
              <w:t>Arsenic ≤ 3 mg/kg, Lead ≤ 2 mg/kg</w:t>
            </w:r>
          </w:p>
        </w:tc>
      </w:tr>
    </w:tbl>
    <w:p w14:paraId="56D5D1D5" w14:textId="07E34B68" w:rsidR="00EB6AB8" w:rsidRPr="00D03F63" w:rsidRDefault="00EB6AB8" w:rsidP="00D03F63">
      <w:r w:rsidRPr="00D03F63">
        <w:rPr>
          <w:sz w:val="20"/>
          <w:szCs w:val="20"/>
          <w:vertAlign w:val="superscript"/>
          <w:lang w:eastAsia="en-AU"/>
        </w:rPr>
        <w:t>1</w:t>
      </w:r>
      <w:r w:rsidRPr="00D03F63">
        <w:rPr>
          <w:sz w:val="20"/>
          <w:szCs w:val="20"/>
          <w:lang w:eastAsia="en-AU"/>
        </w:rPr>
        <w:t xml:space="preserve"> Reproduced from Table </w:t>
      </w:r>
      <w:r>
        <w:rPr>
          <w:sz w:val="20"/>
          <w:szCs w:val="20"/>
          <w:lang w:eastAsia="en-AU"/>
        </w:rPr>
        <w:t>on page 24 of the application.</w:t>
      </w:r>
    </w:p>
    <w:p w14:paraId="3EE6D45F" w14:textId="634A9471" w:rsidR="00D03F63" w:rsidRDefault="00D03F63" w:rsidP="00D03F63"/>
    <w:p w14:paraId="3136D2A1" w14:textId="5DAB5E31" w:rsidR="008C08D3" w:rsidRDefault="008C08D3" w:rsidP="008C08D3">
      <w:pPr>
        <w:rPr>
          <w:b/>
          <w:bCs/>
        </w:rPr>
      </w:pPr>
      <w:bookmarkStart w:id="64" w:name="_Toc516056528"/>
      <w:r w:rsidRPr="008C08D3">
        <w:rPr>
          <w:b/>
          <w:bCs/>
        </w:rPr>
        <w:t>2.3.3</w:t>
      </w:r>
      <w:r w:rsidRPr="008C08D3">
        <w:rPr>
          <w:b/>
          <w:bCs/>
        </w:rPr>
        <w:tab/>
      </w:r>
      <w:r w:rsidR="00CD3CFD">
        <w:rPr>
          <w:b/>
          <w:bCs/>
        </w:rPr>
        <w:tab/>
      </w:r>
      <w:r w:rsidRPr="008C08D3">
        <w:rPr>
          <w:b/>
          <w:bCs/>
        </w:rPr>
        <w:t xml:space="preserve">Product </w:t>
      </w:r>
      <w:r w:rsidR="00A36323">
        <w:rPr>
          <w:b/>
          <w:bCs/>
        </w:rPr>
        <w:t>s</w:t>
      </w:r>
      <w:r w:rsidRPr="008C08D3">
        <w:rPr>
          <w:b/>
          <w:bCs/>
        </w:rPr>
        <w:t>tability</w:t>
      </w:r>
      <w:bookmarkEnd w:id="64"/>
    </w:p>
    <w:p w14:paraId="7C4ABD0E" w14:textId="77777777" w:rsidR="008C08D3" w:rsidRPr="008C08D3" w:rsidRDefault="008C08D3" w:rsidP="008C08D3">
      <w:pPr>
        <w:rPr>
          <w:b/>
          <w:bCs/>
        </w:rPr>
      </w:pPr>
    </w:p>
    <w:p w14:paraId="50712BDE" w14:textId="2F3EC381" w:rsidR="00D03F63" w:rsidRPr="00EB6AB8" w:rsidRDefault="008C08D3" w:rsidP="00D03F63">
      <w:r w:rsidRPr="008C08D3">
        <w:t>The data in the application and in technical literature indicates that rosemary extract is stable and function</w:t>
      </w:r>
      <w:r w:rsidR="00A36323">
        <w:t xml:space="preserve">s as </w:t>
      </w:r>
      <w:r w:rsidR="00EB6AB8">
        <w:t xml:space="preserve">an antioxidant. </w:t>
      </w:r>
    </w:p>
    <w:p w14:paraId="20ACBD6A" w14:textId="77777777" w:rsidR="00D03F63" w:rsidRPr="00D03F63" w:rsidRDefault="00D03F63" w:rsidP="00D03F63">
      <w:pPr>
        <w:autoSpaceDE w:val="0"/>
        <w:autoSpaceDN w:val="0"/>
        <w:adjustRightInd w:val="0"/>
      </w:pPr>
    </w:p>
    <w:p w14:paraId="6D177561" w14:textId="20C46834" w:rsidR="00D03F63" w:rsidRPr="00D03F63" w:rsidRDefault="00D03F63" w:rsidP="00D03F63">
      <w:pPr>
        <w:autoSpaceDE w:val="0"/>
        <w:autoSpaceDN w:val="0"/>
        <w:adjustRightInd w:val="0"/>
      </w:pPr>
      <w:r w:rsidRPr="00D03F63">
        <w:t xml:space="preserve">Stability of antioxidant activity in rosemary extract, both as the isolated extract and when present in foods such as oils, is supported by a large body of research </w:t>
      </w:r>
      <w:r w:rsidRPr="00D03F63">
        <w:fldChar w:fldCharType="begin"/>
      </w:r>
      <w:r w:rsidR="008B317B">
        <w:instrText>ADDIN CITAVI.PLACEHOLDER 19c1ffcc-0b67-4892-acda-576a7345475c PFBsYWNlaG9sZGVyPg0KICA8QWRkSW5WZXJzaW9uPjUuNS4wLjE8L0FkZEluVmVyc2lvbj4NCiAgPElkPjE5YzFmZmNjLTBiNjctNDg5Mi1hY2RhLTU3NmE3MzQ1NDc1YzwvSWQ+DQogIDxFbnRyaWVzPg0KICAgIDxFbnRyeT4NCiAgICAgIDxJZD5hNDU1NjgwZC0wZDE3LTQ3M2QtODM5Mi1iNzI5Njc0ZmIzN2U8L0lkPg0KICAgICAgPFJlZmVyZW5jZUlkPjk0MTJhZTQ3LTUwNmItNDEwYS04ZmNlLWY3ZjZmMjc3MTNhMzwvUmVmZXJlbmNlSWQ+DQogICAgICA8UmFuZ2U+DQogICAgICAgIDxTdGFydD4yMDwvU3RhcnQ+DQogICAgICAgIDxMZW5ndGg+MjE8L0xlbmd0aD4NCiAgICAgIDwvUmFuZ2U+DQogICAgICA8UmVmZXJlbmNlPg0KICAgICAgICA8UmVmZXJlbmNlVHlwZUlkPkpvdXJuYWxBcnRpY2xlPC9SZWZlcmVuY2VUeXBlSWQ+DQogICAgICAgIDxBdXRob3JzPg0KICAgICAgICAgIDxQZXJzb24+DQogICAgICAgICAgICA8Rmlyc3ROYW1lPkVkd2luPC9GaXJzdE5hbWU+DQogICAgICAgICAgICA8TGFzdE5hbWU+RnJhbmtlbDwvTGFzdE5hbWU+DQogICAgICAgICAgICA8TWlkZGxlTmFtZT5OLjwvTWlkZGxlTmFtZT4NCiAgICAgICAgICAgIDxTZXg+TWFsZTwvU2V4Pg0KICAgICAgICAgIDwvUGVyc29uPg0KICAgICAgICAgIDxQZXJzb24+DQogICAgICAgICAgICA8Rmlyc3ROYW1lPlNodS1XZW48L0ZpcnN0TmFtZT4NCiAgICAgICAgICAgIDxMYXN0TmFtZT5IdWFuZzwvTGFzdE5hbWU+DQogICAgICAgICAgPC9QZXJzb24+DQogICAgICAgICAgPFBlcnNvbj4NCiAgICAgICAgICAgIDxGaXJzdE5hbWU+Um9iZXJ0PC9GaXJzdE5hbWU+DQogICAgICAgICAgICA8TGFzdE5hbWU+QWVzY2hiYWNoPC9MYXN0TmFtZT4NCiAgICAgICAgICAgIDxTZXg+TWFsZTwvU2V4Pg0KICAgICAgICAgIDwvUGVyc29uPg0KICAgICAgICAgIDxQZXJzb24+DQogICAgICAgICAgICA8Rmlyc3ROYW1lPkVsaXphYmV0aDwvRmlyc3ROYW1lPg0KICAgICAgICAgICAgPExhc3ROYW1lPlByaW9yPC9MYXN0TmFtZT4NCiAgICAgICAgICAgIDxTZXg+RmVtYWxlPC9TZXg+DQogICAgICAgICAgPC9QZXJzb24+DQogICAgICAgIDwvQXV0aG9ycz4NCiAgICAgICAgPERhdGU+MS8wMS8xOTk2PC9EYXRlPg0KICAgICAgICA8RG9pPjEwLjEwMjEvamY5NTAzNzRwPC9Eb2k+DQogICAgICAgIDxJZD45NDEyYWU0Ny01MDZiLTQxMGEtOGZjZS1mN2Y2ZjI3NzEzYTM8L0lkPg0KICAgICAgICA8TG9jYXRpb25zPg0KICAgICAgICAgIDxMb2NhdGlvbj4NCiAgICAgICAgICAgIDxBZGRyZXNzPjEwLjEwMjEvamY5NTAzNzRwPC9BZGRyZXNzPg0KICAgICAgICAgICAgPExvY2F0aW9uVHlwZT5FbGVjdHJvbmljQWRkcmVzczwvTG9jYXRpb25UeXBlPg0KICAgICAgICAgIDwvTG9jYXRpb24+DQogICAgICAgICAgPExvY2F0aW9uPg0KICAgICAgICAgICAgPEFkZHJlc3M+aHR0cHM6Ly9kb2kub3JnLzEwLjEwMjEvamY5NTAzNzRwPC9BZGRyZXNzPg0KICAgICAgICAgICAgPExvY2F0aW9uVHlwZT5FbGVjdHJvbmljQWRkcmVzczwvTG9jYXRpb25UeXBlPg0KICAgICAgICAgIDwvTG9jYXRpb24+DQogICAgICAgIDwvTG9jYXRpb25zPg0KICAgICAgICA8Tm90ZXM+ZG9pOiAxMC4xMDIxL2pmOTUwMzc0cA0KZG9pOiAxMC4xMDIxL2pmOTUwMzc0cDwvTm90ZXM+DQogICAgICAgIDxOdW1iZXI+MTwvTnVtYmVyPg0KICAgICAgICA8UGFnZVJhbmdlPjwhW0NEQVRBWzxzcD4NCiAgPG4+MTMxPC9uPg0KICA8aW4+dHJ1ZTwvaW4+DQogIDxvcz4xMzE8L29zPg0KICA8cHM+MTMxPC9wcz4NCjwvc3A+DQo8ZXA+DQogIDxuPjEzNTwvbj4NCiAgPGluPnRydWU8L2luPg0KICA8b3M+MTM1PC9vcz4NCiAgPHBzPjEzNTwvcHM+DQo8L2VwPg0KPG9zPjEzMS0xMzU8L29zPl1dPjwvUGFnZVJhbmdlPg0KICAgICAgICA8RW5kUGFnZT4xMzU8L0VuZFBhZ2U+DQogICAgICAgIDxTdGFydFBhZ2U+MTMxPC9TdGFydFBhZ2U+DQogICAgICAgIDxQZXJpb2RpY2FsPg0KICAgICAgICAgIDxJc3NuPjAwMjEtODU2MTwvSXNzbj4NCiAgICAgICAgICA8TmFtZT5Kb3VybmFsIG9mIEFncmljdWx0dXJhbCBhbmQgRm9vZCBDaGVtaXN0cnk8L05hbWU+DQogICAgICAgIDwvUGVyaW9kaWNhbD4NCiAgICAgICAgPFB1Ymxpc2hlcnM+DQogICAgICAgICAgPFB1Ymxpc2hlcj4NCiAgICAgICAgICAgIDxOYW1lPkFtZXJpY2FuIENoZW1pY2FsIFNvY2lldHk8L05hbWU+DQogICAgICAgICAgPC9QdWJsaXNoZXI+DQogICAgICAgIDwvUHVibGlzaGVycz4NCiAgICAgICAgPFNlcXVlbmNlTnVtYmVyPjk8L1NlcXVlbmNlTnVtYmVyPg0KICAgICAgICA8U2hvcnRUaXRsZT5GcmFua2VsLCBIdWFuZyBldCBhbC4gMTk5NiDigJMgQW50aW94aWRhbnQgQWN0aXZpdHkgb2YgYSBSb3NlbWFyeTwvU2hvcnRUaXRsZT4NCiAgICAgICAgPFNvdXJjZU9mQmlibGlvZ3JhcGhpY0luZm9ybWF0aW9uPlJJUzwvU291cmNlT2ZCaWJsaW9ncmFwaGljSW5mb3JtYXRpb24+DQogICAgICAgIDxUaXRsZT5BbnRpb3hpZGFudCBBY3Rpdml0eSBvZiBhIFJvc2VtYXJ5IEV4dHJhY3QgYW5kIEl0cyBDb25zdGl0dWVudHMsIENhcm5vc2ljIEFjaWQsIENhcm5vc29sLCBhbmQgUm9zbWFyaW5pYyBBY2lkLCBpbiBCdWxrIE9pbCBhbmQgT2lsLWluLVdhdGVyIEVtdWxzaW9uPC9UaXRsZT4NCiAgICAgICAgPFZvbHVtZT40NDwvVm9sdW1lPg0KICAgICAgICA8WWVhcj4xOTk2PC9ZZWFyPg0KICAgICAgPC9SZWZlcmVuY2U+DQogICAgPC9FbnRyeT4NCiAgICA8RW50cnk+DQogICAgICA8SWQ+MzRjNThiMjAtYjYyMS00YjI3LWExNmItOTVlMzRkZjk3ZThkPC9JZD4NCiAgICAgIDxSZWZlcmVuY2VJZD4zNWFiYjgxMS0xNGM0LTQ5OTgtODQ4Mi04OGFkZWQwNzBmN2Y8L1JlZmVyZW5jZUlkPg0KICAgICAgPFJhbmdlPg0KICAgICAgICA8U3RhcnQ+NDE8L1N0YXJ0Pg0KICAgICAgICA8TGVuZ3RoPjIwPC9MZW5ndGg+DQogICAgICA8L1JhbmdlPg0KICAgICAgPFJlZmVyZW5jZT4NCiAgICAgICAgPFJlZmVyZW5jZVR5cGVJZD5Kb3VybmFsQXJ0aWNsZTwvUmVmZXJlbmNlVHlwZUlkPg0KICAgICAgICA8QXV0aG9ycz4NCiAgICAgICAgICA8UGVyc29uPg0KICAgICAgICAgICAgPEZpcnN0TmFtZT5TaW1vbmE8L0ZpcnN0TmFtZT4NCiAgICAgICAgICAgIDxMYXN0TmFtZT5CaXJ0acSHPC9MYXN0TmFtZT4NCiAgICAgICAgICAgIDxTZXg+RmVtYWxlPC9TZXg+DQogICAgICAgICAgPC9QZXJzb24+DQogICAgICAgICAgPFBlcnNvbj4NCiAgICAgICAgICAgIDxGaXJzdE5hbWU+UGllcnJlPC9GaXJzdE5hbWU+DQogICAgICAgICAgICA8TGFzdE5hbWU+RHVzc29ydDwvTGFzdE5hbWU+DQogICAgICAgICAgICA8U2V4Pk1hbGU8L1NleD4NCiAgICAgICAgICA8L1BlcnNvbj4NCiAgICAgICAgICA8UGVyc29uPg0KICAgICAgICAgICAgPEZpcnN0TmFtZT5GcmFuw6dvaXMtWGF2aWVyPC9GaXJzdE5hbWU+DQogICAgICAgICAgICA8TGFzdE5hbWU+UGllcnJlPC9MYXN0TmFtZT4NCiAgICAgICAgICA8L1BlcnNvbj4NCiAgICAgICAgICA8UGVyc29uPg0KICAgICAgICAgICAgPEZpcnN0TmFtZT5BbnRvaW5lPC9GaXJzdE5hbWU+DQogICAgICAgICAgICA8TGFzdE5hbWU+QmlseTwvTGFzdE5hbWU+DQogICAgICAgICAgICA8TWlkZGxlTmFtZT5DLjwvTWlkZGxlTmFtZT4NCiAgICAgICAgICAgIDxTZXg+TWFsZTwvU2V4Pg0KICAgICAgICAgIDwvUGVyc29uPg0KICAgICAgICAgIDxQZXJzb24+DQogICAgICAgICAgICA8Rmlyc3ROYW1lPk1hcmM8L0ZpcnN0TmFtZT4NCiAgICAgICAgICAgIDxMYXN0TmFtZT5Sb2xsZXI8L0xhc3ROYW1lPg0KICAgICAgICAgICAgPFNleD5NYWxlPC9TZXg+DQogICAgICAgICAgPC9QZXJzb24+DQogICAgICAgIDwvQXV0aG9ycz4NCiAgICAgICAgPERhdGU+MS8wNy8yMDE1PC9EYXRlPg0KICAgICAgICA8RG9pPjEwLjEwMTYvai5waHl0b2NoZW0uMjAxNC4xMi4wMjY8L0RvaT4NCiAgICAgICAgPElkPjM1YWJiODExLTE0YzQtNDk5OC04NDgyLTg4YWRlZDA3MGY3ZjwvSWQ+DQogICAgICAgIDxMb2NhdGlvbnM+DQogICAgICAgICAgPExvY2F0aW9uPg0KICAgICAgICAgICAgPEFkZHJlc3M+aHR0cHM6Ly9kb2kub3JnLzEwLjEwMTYvai5waHl0b2NoZW0uMjAxNC4xMi4wMjY8L0FkZHJlc3M+DQogICAgICAgICAgICA8TG9jYXRpb25UeXBlPkVsZWN0cm9uaWNBZGRyZXNzPC9Mb2NhdGlvblR5cGU+DQogICAgICAgICAgPC9Mb2NhdGlvbj4NCiAgICAgICAgICA8TG9jYXRpb24+DQogICAgICAgICAgICA8QWRkcmVzcz5odHRwOi8vd3d3LnNjaWVuY2VkaXJlY3QuY29tL3NjaWVuY2UvYXJ0aWNsZS9waWkvUzAwMzE5NDIyMTQwMDU1ODU8L0FkZHJlc3M+DQogICAgICAgICAgICA8TG9jYXRpb25UeXBlPkVsZWN0cm9uaWNBZGRyZXNzPC9Mb2NhdGlvblR5cGU+DQogICAgICAgICAgPC9Mb2NhdGlvbj4NCiAgICAgICAgPC9Mb2NhdGlvbnM+DQogICAgICAgIDxQYWdlUmFuZ2U+PCFbQ0RBVEFbPHNwPg0KICA8bj45PC9uPg0KICA8aW4+dHJ1ZTwvaW4+DQogIDxvcz45PC9vcz4NCiAgPHBzPjk8L3BzPg0KPC9zcD4NCjxlcD4NCiAgPG4+MTk8L24+DQogIDxpbj50cnVlPC9pbj4NCiAgPG9zPjE5PC9vcz4NCiAgPHBzPjE5PC9wcz4NCjwvZXA+DQo8b3M+OS0xOTwvb3M+XV0+PC9QYWdlUmFuZ2U+DQogICAgICAgIDxFbmRQYWdlPjE5PC9FbmRQYWdlPg0KICAgICAgICA8U3RhcnRQYWdlPjk8L1N0YXJ0UGFnZT4NCiAgICAgICAgPFBlcmlvZGljYWw+DQogICAgICAgICAgPElzc24+MDAzMS05NDIyPC9Jc3NuPg0KICAgICAgICAgIDxOYW1lPlBoeXRvY2hlbWlzdHJ5PC9OYW1lPg0KICAgICAgICA8L1BlcmlvZGljYWw+DQogICAgICAgIDxTZXF1ZW5jZU51bWJlcj4xMTwvU2VxdWVuY2VOdW1iZXI+DQogICAgICAgIDxTaG9ydFRpdGxlPkJpcnRpxIcsIER1c3NvcnQgZXQgYWwuIDIwMTUg4oCTIENhcm5vc2ljIGFjaWQ8L1Nob3J0VGl0bGU+DQogICAgICAgIDxTb3VyY2VPZkJpYmxpb2dyYXBoaWNJbmZvcm1hdGlvbj5SSVM8L1NvdXJjZU9mQmlibGlvZ3JhcGhpY0luZm9ybWF0aW9uPg0KICAgICAgICA8VGl0bGU+Q2Fybm9zaWMgYWNpZDwvVGl0bGU+DQogICAgICAgIDxWb2x1bWU+MTE1PC9Wb2x1bWU+DQogICAgICAgIDxZZWFyPjIwMTU8L1llYXI+DQogICAgICA8L1JlZmVyZW5jZT4NCiAgICA8L0VudHJ5Pg0KICAgIDxFbnRyeT4NCiAgICAgIDxJZD4zMjM4NzM1MS03MDExLTRiNjUtODMxNC1hZmVmNGZiZjg5NjI8L0lkPg0KICAgICAgPFJlZmVyZW5jZUlkPmUxYmJhNzg2LWY3M2QtNGQ4MS05ZWQzLWRiMThhM2FjMWJj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S2FyaW48L0ZpcnN0TmFtZT4NCiAgICAgICAgICAgIDxMYXN0TmFtZT5TY2h3YXJ6PC9MYXN0TmFtZT4NCiAgICAgICAgICAgIDxTZXg+RmVtYWxlPC9TZXg+DQogICAgICAgICAgPC9QZXJzb24+DQogICAgICAgICAgPFBlcnNvbj4NCiAgICAgICAgICAgIDxGaXJzdE5hbWU+V2FsZGVtYXI8L0ZpcnN0TmFtZT4NCiAgICAgICAgICAgIDxMYXN0TmFtZT5UZXJuZXM8L0xhc3ROYW1lPg0KICAgICAgICAgICAgPFNleD5NYWxlPC9TZXg+DQogICAgICAgICAgPC9QZXJzb24+DQogICAgICAgICAgPFBlcnNvbj4NCiAgICAgICAgICAgIDxGaXJzdE5hbWU+RWJlcmhhcmQ8L0ZpcnN0TmFtZT4NCiAgICAgICAgICAgIDxMYXN0TmFtZT5TY2htYXVkZXJlcjwvTGFzdE5hbWU+DQogICAgICAgICAgICA8U2V4Pk1hbGU8L1NleD4NCiAgICAgICAgICA8L1BlcnNvbj4NCiAgICAgICAgPC9BdXRob3JzPg0KICAgICAgICA8RGF0ZT4xLzA4LzE5OTI8L0RhdGU+DQogICAgICAgIDxEb2k+MTAuMTAwNy9CRjAxMjAxNzY3PC9Eb2k+DQogICAgICAgIDxJZD5lMWJiYTc4Ni1mNzNkLTRkODEtOWVkMy1kYjE4YTNhYzFiYzk8L0lkPg0KICAgICAgICA8TG9jYXRpb25zPg0KICAgICAgICAgIDxMb2NhdGlvbj4NCiAgICAgICAgICAgIDxBZGRyZXNzPmh0dHBzOi8vZG9pLm9yZy8xMC4xMDA3L0JGMDEyMDE3Njc8L0FkZHJlc3M+DQogICAgICAgICAgICA8TG9jYXRpb25UeXBlPkVsZWN0cm9uaWNBZGRyZXNzPC9Mb2NhdGlvblR5cGU+DQogICAgICAgICAgPC9Mb2NhdGlvbj4NCiAgICAgICAgICA8TG9jYXRpb24+DQogICAgICAgICAgICA8QWRkcmVzcz4xMC4xMDA3L0JGMDEyMDE3Njc8L0FkZHJlc3M+DQogICAgICAgICAgICA8TG9jYXRpb25UeXBlPkVsZWN0cm9uaWNBZGRyZXNzPC9Mb2NhdGlvblR5cGU+DQogICAgICAgICAgPC9Mb2NhdGlvbj4NCiAgICAgICAgPC9Mb2NhdGlvbnM+DQogICAgICAgIDxOdW1iZXI+MjwvTnVtYmVyPg0KICAgICAgICA8UGFnZVJhbmdlPjwhW0NEQVRBWzxzcD4NCiAgPG4+MTA0PC9uPg0KICA8aW4+dHJ1ZTwvaW4+DQogIDxvcz4xMDQ8L29zPg0KICA8cHM+MTA0PC9wcz4NCjwvc3A+DQo8ZXA+DQogIDxuPjEwNzwvbj4NCiAgPGluPnRydWU8L2luPg0KICA8b3M+MTA3PC9vcz4NCiAgPHBzPjEwNzwvcHM+DQo8L2VwPg0KPG9zPjEwNC0xMDc8L29zPl1dPjwvUGFnZVJhbmdlPg0KICAgICAgICA8RW5kUGFnZT4xMDc8L0VuZFBhZ2U+DQogICAgICAgIDxTdGFydFBhZ2U+MTA0PC9TdGFydFBhZ2U+DQogICAgICAgIDxQZXJpb2RpY2FsPg0KICAgICAgICAgIDxJc3NuPjE0MzgtMjM4NTwvSXNzbj4NCiAgICAgICAgICA8TmFtZT5aZWl0c2NocmlmdCBmw7xyIExlYmVuc21pdHRlbC1VbnRlcnN1Y2h1bmcgdW5kIEZvcnNjaHVuZzwvTmFtZT4NCiAgICAgICAgPC9QZXJpb2RpY2FsPg0KICAgICAgICA8U2VxdWVuY2VOdW1iZXI+ODwvU2VxdWVuY2VOdW1iZXI+DQogICAgICAgIDxTaG9ydFRpdGxlPlNjaHdhcnosIFRlcm5lcyBldCBhbC4gMTk5MiDigJMgQW50aW94aWRhdGl2ZSBjb25zdGl0dWVudHMgb2YgUm9zbWFyaW51cyBvZmZpY2luYWxpczwvU2hvcnRUaXRsZT4NCiAgICAgICAgPFNvdXJjZU9mQmlibGlvZ3JhcGhpY0luZm9ybWF0aW9uPlJJUzwvU291cmNlT2ZCaWJsaW9ncmFwaGljSW5mb3JtYXRpb24+DQogICAgICAgIDxTdWJ0aXRsZT5QYXJ0IElJSTwvU3VidGl0bGU+DQogICAgICAgIDxUaXRsZT5BbnRpb3hpZGF0aXZlIGNvbnN0aXR1ZW50cyBvZiBSb3NtYXJpbnVzIG9mZmljaW5hbGlzIGFuZCBTYWx2aWEgb2ZmaWNpbmFsaXM8L1RpdGxlPg0KICAgICAgICA8Vm9sdW1lPjE5NTwvVm9sdW1lPg0KICAgICAgICA8WWVhcj4xOTkyPC9ZZWFyPg0KICAgICAgPC9SZWZlcmVuY2U+DQogICAgPC9FbnRyeT4NCiAgICA8RW50cnk+DQogICAgICA8SWQ+MmQ5NDU1OTItMGUxYS00Mzg5LWE4YTUtODkxMWY2MGUxNGNjPC9JZD4NCiAgICAgIDxSZWZlcmVuY2VJZD5iMjBiYjM5OC05ODExLTQ1YzEtOTMwNy0yZWM2MjI1OTQ2YWY8L1JlZmVyZW5jZUlkPg0KICAgICAgPFJhbmdlPg0KICAgICAgICA8U3RhcnQ+NjE8L1N0YXJ0Pg0KICAgICAgICA8TGVuZ3RoPjMwPC9MZW5ndGg+DQogICAgICA8L1JhbmdlPg0KICAgICAgPFJlZmVyZW5jZT4NCiAgICAgICAgPFJlZmVyZW5jZVR5cGVJZD5Kb3VybmFsQXJ0aWNsZTwvUmVmZXJlbmNlVHlwZUlkPg0KICAgICAgICA8QXV0aG9ycz4NCiAgICAgICAgICA8UGVyc29uPg0KICAgICAgICAgICAgPEZpcnN0TmFtZT5NYcWhYTwvRmlyc3ROYW1lPg0KICAgICAgICAgICAgPExhc3ROYW1lPlJhemJvcsWhZWs8L0xhc3ROYW1lPg0KICAgICAgICAgICAgPE1pZGRsZU5hbWU+SXNsYW3EjWV2acSHPC9NaWRkbGVOYW1lPg0KICAgICAgICAgIDwvUGVyc29uPg0KICAgICAgICAgIDxQZXJzb24+DQogICAgICAgICAgICA8Rmlyc3ROYW1lPk1pbGVuYTwvRmlyc3ROYW1lPg0KICAgICAgICAgICAgPExhc3ROYW1lPkl2YW5vdmnEhzwvTGFzdE5hbWU+DQogICAgICAgICAgICA8U2V4PkZlbWFsZTwvU2V4Pg0KICAgICAgICAgIDwvUGVyc29uPg0KICAgICAgICA8L0F1dGhvcnM+DQogICAgICAgIDxEYXRlPjIwLzA4LzIwMTY8L0RhdGU+DQogICAgICAgIDxEb2k+MTAuMTAxNi9qLmlqbXMuMjAxNi4wNy4wMDI8L0RvaT4NCiAgICAgICAgPElkPmIyMGJiMzk4LTk4MTEtNDVjMS05MzA3LTJlYzYyMjU5NDZhZjwvSWQ+DQogICAgICAgIDxMb2NhdGlvbnM+DQogICAgICAgICAgPExvY2F0aW9uPg0KICAgICAgICAgICAgPEFkZHJlc3M+aHR0cHM6Ly9kb2kub3JnLzEwLjEwMTYvai5pam1zLjIwMTYuMDcuMDAyPC9BZGRyZXNzPg0KICAgICAgICAgICAgPExvY2F0aW9uVHlwZT5FbGVjdHJvbmljQWRkcmVzczwvTG9jYXRpb25UeXBlPg0KICAgICAgICAgIDwvTG9jYXRpb24+DQogICAgICAgICAgPExvY2F0aW9uPg0KICAgICAgICAgICAgPEFkZHJlc3M+aHR0cDovL3d3dy5zY2llbmNlZGlyZWN0LmNvbS9zY2llbmNlL2FydGljbGUvcGlpL1MxMzg3MzgwNjE2MzAxMTE3PC9BZGRyZXNzPg0KICAgICAgICAgICAgPExvY2F0aW9uVHlwZT5FbGVjdHJvbmljQWRkcmVzczwvTG9jYXRpb25UeXBlPg0KICAgICAgICAgIDwvTG9jYXRpb24+DQogICAgICAgIDwvTG9jYXRpb25zPg0KICAgICAgICA8UGFnZVJhbmdlPjwhW0NEQVRBWzxzcD4NCiAgPG4+Mjk8L24+DQogIDxpbj50cnVlPC9pbj4NCiAgPG9zPjI5PC9vcz4NCiAgPHBzPjI5PC9wcz4NCjwvc3A+DQo8ZXA+DQogIDxuPjM5PC9uPg0KICA8aW4+dHJ1ZTwvaW4+DQogIDxvcz4zOTwvb3M+DQogIDxwcz4zOTwvcHM+DQo8L2VwPg0KPG9zPjI5LTM5PC9vcz5dXT48L1BhZ2VSYW5nZT4NCiAgICAgICAgPEVuZFBhZ2U+Mzk8L0VuZFBhZ2U+DQogICAgICAgIDxTdGFydFBhZ2U+Mjk8L1N0YXJ0UGFnZT4NCiAgICAgICAgPFBlcmlvZGljYWw+DQogICAgICAgICAgPElzc24+MTM4Ny0zODA2PC9Jc3NuPg0KICAgICAgICAgIDxOYW1lPkludGVybmF0aW9uYWwgSm91cm5hbCBvZiBNYXNzIFNwZWN0cm9tZXRyeTwvTmFtZT4NCiAgICAgICAgPC9QZXJpb2RpY2FsPg0KICAgICAgICA8U2VxdWVuY2VOdW1iZXI+NjwvU2VxdWVuY2VOdW1iZXI+DQogICAgICAgIDxTaG9ydFRpdGxlPlJhemJvcsWhZWssIEl2YW5vdmnEhyAyMDE2IOKAkyBTdGFiaWxpdHkgc3R1ZGllcyBhbmQgZGV0ZXJtaW5hdGlvbjwvU2hvcnRUaXRsZT4NCiAgICAgICAgPFNvdXJjZU9mQmlibGlvZ3JhcGhpY0luZm9ybWF0aW9uPlJJUzwvU291cmNlT2ZCaWJsaW9ncmFwaGljSW5mb3JtYXRpb24+DQogICAgICAgIDxUaXRsZT5TdGFiaWxpdHkgc3R1ZGllcyBhbmQgZGV0ZXJtaW5hdGlvbiBvZiBjYXJub3NpYyBhY2lkIGFuZCBpdHMgb3hpZGF0aXZlIGRlZ3JhZGF0aW9uIHByb2R1Y3RzIGJ5IGdhcyBjaHJvbWF0b2dyYXBoeeKAk21hc3Mgc3BlY3Ryb21ldHJ5PC9UaXRsZT4NCiAgICAgICAgPFZvbHVtZT40MDc8L1ZvbHVtZT4NCiAgICAgICAgPFllYXI+MjAxNjwvWWVhcj4NCiAgICAgIDwvUmVmZXJlbmNlPg0KICAgIDwvRW50cnk+DQogIDwvRW50cmllcz4NCiAgPFRleHQ+KFNjaHdhcnogZXQgYWwuIDE5OTI7IEZyYW5rZWwgZXQgYWwuIDE5OTY7IEJpcnRpxIcgZXQgYWwuIDIwMTU7IFJhemJvcsWhZWsgYW5kIEl2YW5vdmnEhy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2Nod2FyeiBldCBhbC4gMTk5MjsgRnJhbmtlbCBldCBhbC4gMTk5NjsgQmlydGnEhyBldCBhbC4gMjAxNTsgUmF6Ym9yxaFlayBhbmQgSXZhbm92acSHIDIwMTYpPC9UZXh0Pg0KICAgIDwvVGV4dFVuaXQ+DQogIDwvVGV4dFVuaXRzPg0KPC9QbGFjZWhvbGRlcj4=</w:instrText>
      </w:r>
      <w:r w:rsidRPr="00D03F63">
        <w:fldChar w:fldCharType="separate"/>
      </w:r>
      <w:bookmarkStart w:id="65" w:name="_CTVP00119c1ffcc0b674892acda576a7345475c"/>
      <w:r w:rsidR="002F200C">
        <w:t>(Schwarz et al. 1992; Frankel et al. 1996; Birtić et al. 2015; Razboršek and Ivanović 2016)</w:t>
      </w:r>
      <w:bookmarkEnd w:id="65"/>
      <w:r w:rsidRPr="00D03F63">
        <w:fldChar w:fldCharType="end"/>
      </w:r>
      <w:r w:rsidRPr="00D03F63">
        <w:t xml:space="preserve">. Overall, studies show that the antioxidative activity </w:t>
      </w:r>
      <w:r w:rsidR="00A36323">
        <w:t>depends</w:t>
      </w:r>
      <w:r w:rsidRPr="00D03F63">
        <w:t xml:space="preserve"> on the content and ratio of </w:t>
      </w:r>
      <w:r w:rsidR="00E67220">
        <w:t>carnosol</w:t>
      </w:r>
      <w:r w:rsidRPr="00D03F63">
        <w:t xml:space="preserve"> and carnosic acid in the isolated extract. This, in turn, is affected by drying methods and storage of the plant matter, the solvent extraction method, thermal degradation of the extract at temperatures greater than 100 </w:t>
      </w:r>
      <w:r w:rsidRPr="00D03F63">
        <w:sym w:font="Symbol" w:char="F0B0"/>
      </w:r>
      <w:r w:rsidRPr="00D03F63">
        <w:t>C, and the presence of water or light exposure. Thermal degra</w:t>
      </w:r>
      <w:r w:rsidR="0083759F">
        <w:t>da</w:t>
      </w:r>
      <w:r w:rsidRPr="00D03F63">
        <w:t>tion products have also been found to be active as antioxidants. The antioxidant activity of rosemary extract is relatively unstable when the extract is stored in solvents but has increased stability in food matrices</w:t>
      </w:r>
      <w:r w:rsidR="00A36323">
        <w:t>.</w:t>
      </w:r>
    </w:p>
    <w:p w14:paraId="37FEEAF9" w14:textId="77777777" w:rsidR="00D03F63" w:rsidRPr="00D03F63" w:rsidRDefault="00D03F63" w:rsidP="00D03F63">
      <w:pPr>
        <w:autoSpaceDE w:val="0"/>
        <w:autoSpaceDN w:val="0"/>
        <w:adjustRightInd w:val="0"/>
      </w:pPr>
    </w:p>
    <w:p w14:paraId="4989191D" w14:textId="74566433" w:rsidR="00D03F63" w:rsidRPr="00D03F63" w:rsidRDefault="00D03F63" w:rsidP="00D03F63">
      <w:r w:rsidRPr="00D03F63">
        <w:t>Information on the shelf life of rosemary extract (</w:t>
      </w:r>
      <w:r w:rsidR="00A36323">
        <w:t>before</w:t>
      </w:r>
      <w:r w:rsidRPr="00D03F63">
        <w:t xml:space="preserve"> use) and the optimum storage conditions was not available. Commercial providers of the product indicate that the product should be stored at ambient temperatures and specify a shelf-life of 12 months.</w:t>
      </w:r>
    </w:p>
    <w:p w14:paraId="2B955264" w14:textId="093A4D99" w:rsidR="00D03F63" w:rsidRPr="00D03F63" w:rsidRDefault="00D03F63" w:rsidP="00DF662D">
      <w:pPr>
        <w:pStyle w:val="Heading2"/>
      </w:pPr>
      <w:bookmarkStart w:id="66" w:name="_Toc516056529"/>
      <w:bookmarkStart w:id="67" w:name="_Toc517709874"/>
      <w:bookmarkStart w:id="68" w:name="_Toc518388274"/>
      <w:bookmarkStart w:id="69" w:name="_Toc526498363"/>
      <w:r w:rsidRPr="00D03F63">
        <w:t>2.4</w:t>
      </w:r>
      <w:r w:rsidRPr="00D03F63">
        <w:tab/>
        <w:t>Analytical method for detection</w:t>
      </w:r>
      <w:bookmarkEnd w:id="66"/>
      <w:bookmarkEnd w:id="67"/>
      <w:bookmarkEnd w:id="68"/>
      <w:bookmarkEnd w:id="69"/>
    </w:p>
    <w:p w14:paraId="1A868C8A" w14:textId="2872C4F0" w:rsidR="00D03F63" w:rsidRPr="00D03F63" w:rsidRDefault="00D03F63" w:rsidP="00D03F63">
      <w:r w:rsidRPr="00D03F63">
        <w:t xml:space="preserve">The content of </w:t>
      </w:r>
      <w:r w:rsidR="00E67220">
        <w:t>carnosol</w:t>
      </w:r>
      <w:r w:rsidRPr="00D03F63">
        <w:t xml:space="preserve"> and carnosic acid in isolated rosemary extracts is measured using established chromatographic methods. The ratio of carnosic acid</w:t>
      </w:r>
      <w:r w:rsidR="00A61845">
        <w:t xml:space="preserve"> plus carnosol</w:t>
      </w:r>
      <w:r w:rsidRPr="00D03F63">
        <w:t xml:space="preserve"> content to reference volatiles</w:t>
      </w:r>
      <w:r w:rsidRPr="00D03F63">
        <w:rPr>
          <w:vertAlign w:val="superscript"/>
        </w:rPr>
        <w:footnoteReference w:id="4"/>
      </w:r>
      <w:r w:rsidRPr="00D03F63">
        <w:t xml:space="preserve"> is measured by gas chromatography coupled with mass spectrometry detection (GC-MS), and gas chromatography with flame ionisation detection (GC-FID). Methods to assay residual solvents, solubility, loss on drying, and heavy metals are internationally recognised (</w:t>
      </w:r>
      <w:r w:rsidR="002D5665">
        <w:t>FCC 2016)</w:t>
      </w:r>
      <w:r w:rsidRPr="00D03F63">
        <w:t>.</w:t>
      </w:r>
    </w:p>
    <w:p w14:paraId="36CA452D" w14:textId="77777777" w:rsidR="00D03F63" w:rsidRPr="00D03F63" w:rsidRDefault="00D03F63" w:rsidP="00D03F63"/>
    <w:p w14:paraId="08CCAE49" w14:textId="58B68B81" w:rsidR="00D03F63" w:rsidRPr="00D03F63" w:rsidRDefault="00D03F63" w:rsidP="00D03F63">
      <w:r w:rsidRPr="00D03F63">
        <w:t>All methods are consistent with those described in FAO/WHO Rosemary Extract (Tentative) Monograph</w:t>
      </w:r>
      <w:r w:rsidR="00522CDD">
        <w:t xml:space="preserve"> (WHO 2017)</w:t>
      </w:r>
      <w:r w:rsidRPr="00D03F63">
        <w:t xml:space="preserve"> and the Food Chemical Codex (FCC) specification which are </w:t>
      </w:r>
      <w:r w:rsidRPr="00D03F63">
        <w:lastRenderedPageBreak/>
        <w:t>provided in Appendix 1 and Appendix 2 of the application.</w:t>
      </w:r>
    </w:p>
    <w:p w14:paraId="4CF1F420" w14:textId="1A111280" w:rsidR="00D03F63" w:rsidRPr="00D03F63" w:rsidRDefault="00D03F63" w:rsidP="00DF662D">
      <w:pPr>
        <w:pStyle w:val="Heading2"/>
      </w:pPr>
      <w:bookmarkStart w:id="70" w:name="_Toc516056530"/>
      <w:bookmarkStart w:id="71" w:name="_Toc517709875"/>
      <w:bookmarkStart w:id="72" w:name="_Toc518388275"/>
      <w:bookmarkStart w:id="73" w:name="_Toc526498364"/>
      <w:r w:rsidRPr="00D03F63">
        <w:t>2.5</w:t>
      </w:r>
      <w:r w:rsidRPr="00D03F63">
        <w:tab/>
        <w:t>Food technology conclusion</w:t>
      </w:r>
      <w:bookmarkEnd w:id="70"/>
      <w:bookmarkEnd w:id="71"/>
      <w:bookmarkEnd w:id="72"/>
      <w:bookmarkEnd w:id="73"/>
    </w:p>
    <w:p w14:paraId="792F5753" w14:textId="437B8477" w:rsidR="00D03F63" w:rsidRPr="00D03F63" w:rsidRDefault="00D03F63" w:rsidP="00D03F63">
      <w:r w:rsidRPr="00D03F63">
        <w:t>Rosemary extract containing carnosol and carnosic acid when used as a food additive at the proposed levels performs the technological purpose of an antioxidant. The extract is proposed to be added in</w:t>
      </w:r>
      <w:r w:rsidR="00D869F3">
        <w:t xml:space="preserve"> a range of foods (see Table 4.3) </w:t>
      </w:r>
      <w:r w:rsidRPr="00D03F63">
        <w:t>and evidence has been provided to indicate its efficacy.</w:t>
      </w:r>
    </w:p>
    <w:p w14:paraId="28BC784F" w14:textId="6E2F6E4F" w:rsidR="00D03F63" w:rsidRPr="00D03F63" w:rsidRDefault="00D03F63" w:rsidP="009E7F57">
      <w:pPr>
        <w:pStyle w:val="Heading1"/>
      </w:pPr>
      <w:bookmarkStart w:id="74" w:name="_Toc516056531"/>
      <w:bookmarkStart w:id="75" w:name="_Toc517709876"/>
      <w:bookmarkStart w:id="76" w:name="_Toc518388276"/>
      <w:bookmarkStart w:id="77" w:name="_Toc526498365"/>
      <w:r w:rsidRPr="00D03F63">
        <w:t>3</w:t>
      </w:r>
      <w:r w:rsidRPr="00D03F63">
        <w:tab/>
        <w:t>Hazard Assessment</w:t>
      </w:r>
      <w:bookmarkEnd w:id="74"/>
      <w:bookmarkEnd w:id="75"/>
      <w:bookmarkEnd w:id="76"/>
      <w:bookmarkEnd w:id="77"/>
      <w:r w:rsidRPr="00D03F63">
        <w:t xml:space="preserve"> </w:t>
      </w:r>
    </w:p>
    <w:p w14:paraId="432B0611" w14:textId="6A725694" w:rsidR="00D03F63" w:rsidRPr="002D5665" w:rsidRDefault="00D838B0" w:rsidP="00DF662D">
      <w:pPr>
        <w:pStyle w:val="Heading2"/>
      </w:pPr>
      <w:bookmarkStart w:id="78" w:name="_Toc513219012"/>
      <w:bookmarkStart w:id="79" w:name="_Toc517709877"/>
      <w:bookmarkStart w:id="80" w:name="_Toc518388277"/>
      <w:bookmarkStart w:id="81" w:name="_Toc526498366"/>
      <w:r>
        <w:t>3.1</w:t>
      </w:r>
      <w:r>
        <w:tab/>
      </w:r>
      <w:r w:rsidR="00D03F63" w:rsidRPr="002D5665">
        <w:t>Background</w:t>
      </w:r>
      <w:bookmarkEnd w:id="78"/>
      <w:bookmarkEnd w:id="79"/>
      <w:bookmarkEnd w:id="80"/>
      <w:bookmarkEnd w:id="81"/>
    </w:p>
    <w:p w14:paraId="5DB8C8D0" w14:textId="36A0D5B6" w:rsidR="00D03F63" w:rsidRPr="002D5665" w:rsidRDefault="00D838B0" w:rsidP="005137FA">
      <w:pPr>
        <w:pStyle w:val="Heading3"/>
      </w:pPr>
      <w:bookmarkStart w:id="82" w:name="_Toc517709878"/>
      <w:bookmarkStart w:id="83" w:name="_Toc518388278"/>
      <w:bookmarkStart w:id="84" w:name="_Toc526498367"/>
      <w:r>
        <w:t>3.1.1</w:t>
      </w:r>
      <w:r>
        <w:tab/>
      </w:r>
      <w:r w:rsidR="00D03F63" w:rsidRPr="002D5665">
        <w:t>Evaluation of the submitted data</w:t>
      </w:r>
      <w:bookmarkEnd w:id="82"/>
      <w:bookmarkEnd w:id="83"/>
      <w:bookmarkEnd w:id="84"/>
    </w:p>
    <w:p w14:paraId="14FCAE01" w14:textId="3C0D1457" w:rsidR="00D03F63" w:rsidRPr="00D03F63" w:rsidRDefault="00D03F63" w:rsidP="00D03F63">
      <w:r w:rsidRPr="00D03F63">
        <w:t>FSANZ has assessed the submitted evidence on the safety of rosemary extract</w:t>
      </w:r>
      <w:r w:rsidR="00A36323">
        <w:t xml:space="preserve"> and </w:t>
      </w:r>
      <w:r w:rsidRPr="00D03F63">
        <w:t>information from other sources. The assessed data on rosemary extract include information on toxicokinetics and metabolism, genotoxicity,</w:t>
      </w:r>
      <w:r w:rsidRPr="00D03F63">
        <w:rPr>
          <w:i/>
          <w:color w:val="00B0F0"/>
        </w:rPr>
        <w:t xml:space="preserve"> </w:t>
      </w:r>
      <w:r w:rsidRPr="00D03F63">
        <w:t>toxicity in laboratory animals,</w:t>
      </w:r>
      <w:r w:rsidRPr="00D03F63">
        <w:rPr>
          <w:i/>
        </w:rPr>
        <w:t xml:space="preserve"> </w:t>
      </w:r>
      <w:r w:rsidRPr="00D03F63">
        <w:t>and studies in human volunteers. The submitted data, together with the assessment by JECFA (WHO 2017) are considered su</w:t>
      </w:r>
      <w:r w:rsidR="004050AB">
        <w:t>itable to assess the hazard of r</w:t>
      </w:r>
      <w:r w:rsidRPr="00D03F63">
        <w:t>osemary extract.</w:t>
      </w:r>
    </w:p>
    <w:p w14:paraId="3CAC190E" w14:textId="3DC61B75" w:rsidR="00D03F63" w:rsidRPr="00D03F63" w:rsidRDefault="00D838B0" w:rsidP="005137FA">
      <w:pPr>
        <w:pStyle w:val="Heading3"/>
        <w:rPr>
          <w:i/>
          <w:szCs w:val="22"/>
        </w:rPr>
      </w:pPr>
      <w:bookmarkStart w:id="85" w:name="_Toc517709879"/>
      <w:bookmarkStart w:id="86" w:name="_Toc518388279"/>
      <w:bookmarkStart w:id="87" w:name="_Toc526498368"/>
      <w:r>
        <w:t>3.1.2</w:t>
      </w:r>
      <w:r>
        <w:tab/>
      </w:r>
      <w:r w:rsidR="00D03F63" w:rsidRPr="002D5665">
        <w:t>Characteristics of rosemary extract</w:t>
      </w:r>
      <w:bookmarkEnd w:id="85"/>
      <w:bookmarkEnd w:id="86"/>
      <w:bookmarkEnd w:id="87"/>
    </w:p>
    <w:p w14:paraId="314A0CDF" w14:textId="65AF698D" w:rsidR="00D03F63" w:rsidRPr="00D03F63" w:rsidRDefault="00D03F63" w:rsidP="00D03F63">
      <w:r w:rsidRPr="00D03F63">
        <w:t xml:space="preserve">The chemical characteristics of rosemary extract are provided in Section 2. The application concerns rosemary extracts made using solvent extraction with acetone or ethanol, that meet the specifications of the tentative monograph </w:t>
      </w:r>
      <w:r w:rsidRPr="00D5128F">
        <w:t>by</w:t>
      </w:r>
      <w:r w:rsidR="00E00C30" w:rsidRPr="00D5128F">
        <w:t xml:space="preserve"> J</w:t>
      </w:r>
      <w:r w:rsidR="00E00C30" w:rsidRPr="00E00C30">
        <w:t>ECFA (WHO 2017</w:t>
      </w:r>
      <w:r w:rsidRPr="00E00C30">
        <w:t>)</w:t>
      </w:r>
      <w:r w:rsidRPr="00D03F63">
        <w:t xml:space="preserve"> and the Food Chemicals Codex 10</w:t>
      </w:r>
      <w:r w:rsidRPr="00D03F63">
        <w:rPr>
          <w:vertAlign w:val="superscript"/>
        </w:rPr>
        <w:t>th</w:t>
      </w:r>
      <w:r w:rsidRPr="00D03F63">
        <w:t xml:space="preserve"> edition (FCC 2016). Two phenolic diterpenes, carnosol and carnosic acid, are primarily responsible for the antioxidant properties of rosemary extract. The composition of rosemary extract intended for antioxidant use is standardised so that carnosic acid and carnosol are </w:t>
      </w:r>
      <w:r w:rsidR="00585ED3">
        <w:t>present at between 5 to 25% w/w</w:t>
      </w:r>
      <w:r w:rsidRPr="00D03F63">
        <w:t xml:space="preserve">, by the addition of food-grade excipients and fillers. Rosemary extract also contains several reference volatiles that contribute flavour and odour. The ratio of the carnosic acid and carnosol to the reference volatiles is not less than 15. Other substances that may be present and that are derived from </w:t>
      </w:r>
      <w:r w:rsidRPr="00D03F63">
        <w:rPr>
          <w:i/>
        </w:rPr>
        <w:t xml:space="preserve">Rosmarinus officinalis </w:t>
      </w:r>
      <w:r w:rsidRPr="00D03F63">
        <w:t xml:space="preserve">include triterpenic acids, tannins, polyphenols, polysaccharides, and residues of plant material. </w:t>
      </w:r>
    </w:p>
    <w:p w14:paraId="00DC983D" w14:textId="54727A40" w:rsidR="00D03F63" w:rsidRDefault="0055434B" w:rsidP="00DF662D">
      <w:pPr>
        <w:pStyle w:val="Heading2"/>
        <w:rPr>
          <w:i/>
          <w:iCs/>
        </w:rPr>
      </w:pPr>
      <w:bookmarkStart w:id="88" w:name="_Toc513219013"/>
      <w:bookmarkStart w:id="89" w:name="_Toc517709880"/>
      <w:bookmarkStart w:id="90" w:name="_Toc518388280"/>
      <w:bookmarkStart w:id="91" w:name="_Toc526498369"/>
      <w:r>
        <w:t>3.2</w:t>
      </w:r>
      <w:r>
        <w:tab/>
      </w:r>
      <w:r w:rsidR="00D03F63" w:rsidRPr="00585ED3">
        <w:t>Toxicological data</w:t>
      </w:r>
      <w:bookmarkEnd w:id="88"/>
      <w:bookmarkEnd w:id="89"/>
      <w:bookmarkEnd w:id="90"/>
      <w:bookmarkEnd w:id="91"/>
    </w:p>
    <w:p w14:paraId="053C3A0C" w14:textId="5767CE77" w:rsidR="00874070" w:rsidRPr="00D03F63" w:rsidRDefault="00874070" w:rsidP="00874070">
      <w:pPr>
        <w:rPr>
          <w:lang w:bidi="ar-SA"/>
        </w:rPr>
      </w:pPr>
      <w:r>
        <w:rPr>
          <w:lang w:bidi="ar-SA"/>
        </w:rPr>
        <w:t xml:space="preserve">Carnosic acid and carnosol are considered to be the most important antioxidants of rosemary extract, and for this reason studies in which purified carnosic acid </w:t>
      </w:r>
      <w:r w:rsidR="001631DD">
        <w:rPr>
          <w:lang w:bidi="ar-SA"/>
        </w:rPr>
        <w:t xml:space="preserve">were used </w:t>
      </w:r>
      <w:r>
        <w:rPr>
          <w:lang w:bidi="ar-SA"/>
        </w:rPr>
        <w:t xml:space="preserve">are relevant to this assessment. Studies in which </w:t>
      </w:r>
      <w:r w:rsidR="00C96081">
        <w:rPr>
          <w:lang w:bidi="ar-SA"/>
        </w:rPr>
        <w:t xml:space="preserve">the test article comprised </w:t>
      </w:r>
      <w:r>
        <w:rPr>
          <w:lang w:bidi="ar-SA"/>
        </w:rPr>
        <w:t xml:space="preserve">whole rosemary leaves are also relevant, because rosemary leaves would be expected to contain carnosic acid and carnosol as well as a range of other compounds. However, studies of extracts of components of rosemary leaves that are soluble in water are considered to be unlikely to be comparable to the extracts made using ethanol </w:t>
      </w:r>
      <w:r w:rsidR="001C615F">
        <w:rPr>
          <w:lang w:bidi="ar-SA"/>
        </w:rPr>
        <w:t xml:space="preserve">or </w:t>
      </w:r>
      <w:r>
        <w:rPr>
          <w:lang w:bidi="ar-SA"/>
        </w:rPr>
        <w:t xml:space="preserve">acetone </w:t>
      </w:r>
      <w:r w:rsidR="005E04B6">
        <w:rPr>
          <w:lang w:bidi="ar-SA"/>
        </w:rPr>
        <w:t>(which</w:t>
      </w:r>
      <w:r>
        <w:rPr>
          <w:lang w:bidi="ar-SA"/>
        </w:rPr>
        <w:t xml:space="preserve"> are </w:t>
      </w:r>
      <w:r w:rsidR="005E04B6">
        <w:rPr>
          <w:lang w:bidi="ar-SA"/>
        </w:rPr>
        <w:t>soluble in oil)</w:t>
      </w:r>
      <w:r w:rsidR="006110A8">
        <w:rPr>
          <w:lang w:bidi="ar-SA"/>
        </w:rPr>
        <w:t xml:space="preserve"> and are </w:t>
      </w:r>
      <w:r w:rsidR="00C96081">
        <w:rPr>
          <w:lang w:bidi="ar-SA"/>
        </w:rPr>
        <w:t xml:space="preserve">therefore </w:t>
      </w:r>
      <w:r w:rsidR="006110A8">
        <w:rPr>
          <w:lang w:bidi="ar-SA"/>
        </w:rPr>
        <w:t>reviewed under the heading ‘Other studies’ (subsection 3.2.7)</w:t>
      </w:r>
      <w:r w:rsidR="005E04B6">
        <w:rPr>
          <w:lang w:bidi="ar-SA"/>
        </w:rPr>
        <w:t>.</w:t>
      </w:r>
      <w:r w:rsidR="006110A8">
        <w:rPr>
          <w:lang w:bidi="ar-SA"/>
        </w:rPr>
        <w:t xml:space="preserve"> </w:t>
      </w:r>
    </w:p>
    <w:p w14:paraId="29C90BBE" w14:textId="120267BD" w:rsidR="00D03F63" w:rsidRPr="00585ED3" w:rsidRDefault="0055434B" w:rsidP="005137FA">
      <w:pPr>
        <w:pStyle w:val="Heading3"/>
      </w:pPr>
      <w:bookmarkStart w:id="92" w:name="_Toc517709881"/>
      <w:bookmarkStart w:id="93" w:name="_Toc518388281"/>
      <w:bookmarkStart w:id="94" w:name="_Toc526498370"/>
      <w:r>
        <w:t>3.2.1</w:t>
      </w:r>
      <w:r>
        <w:tab/>
      </w:r>
      <w:r w:rsidR="00D03F63" w:rsidRPr="00585ED3">
        <w:t>Toxicokinetics and metabolism</w:t>
      </w:r>
      <w:bookmarkEnd w:id="92"/>
      <w:bookmarkEnd w:id="93"/>
      <w:bookmarkEnd w:id="94"/>
    </w:p>
    <w:p w14:paraId="20D4389D" w14:textId="77777777" w:rsidR="00D03F63" w:rsidRPr="00D03F63" w:rsidRDefault="00D03F63" w:rsidP="00D03F63">
      <w:pPr>
        <w:rPr>
          <w:i/>
          <w:lang w:eastAsia="en-AU"/>
        </w:rPr>
      </w:pPr>
      <w:r w:rsidRPr="00D03F63">
        <w:rPr>
          <w:i/>
          <w:lang w:eastAsia="en-AU"/>
        </w:rPr>
        <w:t xml:space="preserve">Oral gavage study of the kinetics of carnosic acid in rats (Yan </w:t>
      </w:r>
      <w:r w:rsidRPr="00D03F63">
        <w:rPr>
          <w:lang w:eastAsia="en-AU"/>
        </w:rPr>
        <w:t>et al.</w:t>
      </w:r>
      <w:r w:rsidRPr="00D03F63">
        <w:rPr>
          <w:i/>
          <w:lang w:eastAsia="en-AU"/>
        </w:rPr>
        <w:t xml:space="preserve"> 2009) Regulatory status: Non-GLP</w:t>
      </w:r>
    </w:p>
    <w:p w14:paraId="54D5B7AA" w14:textId="77777777" w:rsidR="005E04B6" w:rsidRDefault="005E04B6" w:rsidP="00D03F63">
      <w:pPr>
        <w:rPr>
          <w:lang w:eastAsia="en-AU"/>
        </w:rPr>
      </w:pPr>
    </w:p>
    <w:p w14:paraId="088CB40C" w14:textId="2E6BCB95" w:rsidR="00D03F63" w:rsidRDefault="00D03F63" w:rsidP="00D03F63">
      <w:r w:rsidRPr="00D03F63">
        <w:rPr>
          <w:lang w:eastAsia="en-AU"/>
        </w:rPr>
        <w:t xml:space="preserve">The test article for this study was carnosic acid of &gt;98% purity. The test subjects were young male Sprague Dawley rats weighing 190-220 g at time of receipt. Rats were housed under </w:t>
      </w:r>
      <w:r w:rsidRPr="00D03F63">
        <w:rPr>
          <w:lang w:eastAsia="en-AU"/>
        </w:rPr>
        <w:lastRenderedPageBreak/>
        <w:t xml:space="preserve">standard laboratory conditions and acclimatised for three days prior to the start of the experiment. Water and a standard rat chow were provided </w:t>
      </w:r>
      <w:r w:rsidRPr="00D03F63">
        <w:rPr>
          <w:i/>
          <w:lang w:eastAsia="en-AU"/>
        </w:rPr>
        <w:t>ad libitum</w:t>
      </w:r>
      <w:r w:rsidRPr="00D03F63">
        <w:rPr>
          <w:lang w:eastAsia="en-AU"/>
        </w:rPr>
        <w:t>, except overnight prior to dosing, when rats were fasted. Rats were administered carnosic acid by either oral gavage at 90 mg/kg bw, or intravenously via the tail vein at 10 mg/kg. The vehicles and dosing volumes were not stated. The number of rats per group is also not stated, but the plasma concentrations are the means from 8 rats/timepoint. Blood (0.5 mL/timepoint) was collected from the orbital sinus at 5, 15, 30, 60, 120, 240, 360, 480, 600, 720, and 1440 min after gavage administration and at 0, 10, 30, 45, 60, 120, 180, 240 and 360 min after intravenous administration. Pharmacokinetic analysis of the results showed that the oral bioavailability of carnosic acid was 65.09(± 1.422)%. Pharmacokinetic parameters generally had large standard deviations, indicative of considerable variation between individuals; T</w:t>
      </w:r>
      <w:r w:rsidRPr="00D03F63">
        <w:rPr>
          <w:vertAlign w:val="subscript"/>
          <w:lang w:eastAsia="en-AU"/>
        </w:rPr>
        <w:t>max</w:t>
      </w:r>
      <w:r w:rsidRPr="00D03F63">
        <w:rPr>
          <w:lang w:eastAsia="en-AU"/>
        </w:rPr>
        <w:t xml:space="preserve"> was 125.6 (±118.4) min, t</w:t>
      </w:r>
      <w:r w:rsidRPr="00D03F63">
        <w:rPr>
          <w:vertAlign w:val="subscript"/>
          <w:lang w:eastAsia="en-AU"/>
        </w:rPr>
        <w:t xml:space="preserve">1/2 </w:t>
      </w:r>
      <w:r w:rsidRPr="00D03F63">
        <w:rPr>
          <w:lang w:eastAsia="en-AU"/>
        </w:rPr>
        <w:t xml:space="preserve">was 961.5 (±889.9) min, and clearance was 0.003 (±0.002) L/min/kg. </w:t>
      </w:r>
      <w:r w:rsidR="00554C92">
        <w:rPr>
          <w:lang w:eastAsia="en-AU"/>
        </w:rPr>
        <w:t xml:space="preserve">Calculated </w:t>
      </w:r>
      <w:r w:rsidRPr="00D03F63">
        <w:t>volume of distribution at steady state (V</w:t>
      </w:r>
      <w:r w:rsidRPr="00D03F63">
        <w:rPr>
          <w:vertAlign w:val="subscript"/>
        </w:rPr>
        <w:t>SS</w:t>
      </w:r>
      <w:r w:rsidRPr="00D03F63">
        <w:t xml:space="preserve">) </w:t>
      </w:r>
      <w:r w:rsidR="00554C92">
        <w:t>wa</w:t>
      </w:r>
      <w:r w:rsidRPr="00D03F63">
        <w:t xml:space="preserve">s 3.228 (±2.628) L/kg. The authors commented that although carnosic acid is readily converted to carnosol by oxidation in air, they did not find carnosol in rat plasma, and therefore they do not consider carnosol to be an </w:t>
      </w:r>
      <w:r w:rsidRPr="00D03F63">
        <w:rPr>
          <w:i/>
        </w:rPr>
        <w:t>in vivo</w:t>
      </w:r>
      <w:r w:rsidRPr="00D03F63">
        <w:t xml:space="preserve"> metabolite of carnosic acid. They concluded that absorption of carnosic acid from the gastrointestinal tract was slow, but clearance from the plasma was also slow. </w:t>
      </w:r>
    </w:p>
    <w:p w14:paraId="18E3D364" w14:textId="77777777" w:rsidR="009E7F57" w:rsidRPr="00D03F63" w:rsidRDefault="009E7F57" w:rsidP="00D03F63"/>
    <w:p w14:paraId="773166CC" w14:textId="1EB064D4" w:rsidR="009E7F57" w:rsidRDefault="00D03F63" w:rsidP="00D03F63">
      <w:r w:rsidRPr="00D03F63">
        <w:t>A drawback to this study was the high volume of blood removed from small rats, which would be likely to affect xenobiotic kinetics. That mean plasma concentrations were from 8 rats</w:t>
      </w:r>
      <w:r w:rsidR="00554C92">
        <w:t>, which indicates</w:t>
      </w:r>
      <w:r w:rsidRPr="00D03F63">
        <w:t xml:space="preserve"> that all rats in a cohort were bled at every timepoint. This means that over 24 hours, a total of 5.5 mL was removed from each rat in the gavage cohort, and 4.5 mL was removed from each rat in the intravenous cohort. The short acclimatisation period means that the rats would not have been much heavier than their 190-220 g bodyweight on receipt and would have had normal circulating blood volumes in the range 12 to 14 mL. Therefore blood loss for the gavage cohort would be in the range of 39 to 46% over 24 hours, and blood loss for the intravenous cohort would be in the range of 32 to 38% over 6 hours. These are high levels of blood loss which would have resulted in clinically significant anaemia and hypovolaemia, and would be highly likely to affect the kinetics of any xenobiotic.</w:t>
      </w:r>
    </w:p>
    <w:p w14:paraId="3D41A2E6" w14:textId="77777777" w:rsidR="00D03F63" w:rsidRPr="00D03F63" w:rsidRDefault="00D03F63" w:rsidP="00D03F63">
      <w:r w:rsidRPr="00D03F63">
        <w:t xml:space="preserve">  </w:t>
      </w:r>
    </w:p>
    <w:p w14:paraId="1A131A50" w14:textId="77777777" w:rsidR="00D03F63" w:rsidRPr="00D03F63" w:rsidRDefault="00D03F63" w:rsidP="00D03F63">
      <w:pPr>
        <w:rPr>
          <w:i/>
          <w:lang w:eastAsia="en-AU"/>
        </w:rPr>
      </w:pPr>
      <w:r w:rsidRPr="00D03F63">
        <w:rPr>
          <w:i/>
          <w:lang w:eastAsia="en-AU"/>
        </w:rPr>
        <w:t xml:space="preserve">Intravenous and oral gavage study of the kinetics of carnosic acid in rats (Doolaege </w:t>
      </w:r>
      <w:r w:rsidRPr="00D03F63">
        <w:rPr>
          <w:lang w:eastAsia="en-AU"/>
        </w:rPr>
        <w:t>et al.</w:t>
      </w:r>
      <w:r w:rsidRPr="00D03F63">
        <w:rPr>
          <w:i/>
          <w:lang w:eastAsia="en-AU"/>
        </w:rPr>
        <w:t xml:space="preserve"> (2011). Regulatory status: Non-GLP</w:t>
      </w:r>
    </w:p>
    <w:p w14:paraId="554EDF9F" w14:textId="77777777" w:rsidR="005E04B6" w:rsidRDefault="005E04B6" w:rsidP="00D03F63">
      <w:pPr>
        <w:rPr>
          <w:lang w:eastAsia="en-AU"/>
        </w:rPr>
      </w:pPr>
    </w:p>
    <w:p w14:paraId="69E530D9" w14:textId="384D7386" w:rsidR="00D03F63" w:rsidRDefault="00D03F63" w:rsidP="00D03F63">
      <w:pPr>
        <w:rPr>
          <w:lang w:eastAsia="en-AU"/>
        </w:rPr>
      </w:pPr>
      <w:r w:rsidRPr="00D03F63">
        <w:rPr>
          <w:lang w:eastAsia="en-AU"/>
        </w:rPr>
        <w:t>The rats used in this study were male Sprague Dawley rats weighing 200-330 g. All rats were fasted overnight prior to dose administration. The test article was carnosic acid purchased from Sigma Aldrich. The purity was not stated by the authors, but carnosic acid currently listed by Sigma Aldrich has a purity of ≥91%. Four rats were administered 4.0 (±0.1) mg carnosic acid intravenously, dissolved in a vehicle of 5% ethanol in water, and five rats were gavaged with 15.4 (± 1.2) mg carnosic acid dissolved in PEG400. Individual animal weights were recorded, and the amount of carnosic acid remaining in syringes after injection was measured by LC-MS, allowing accurate calculation of the dose administered. Blood samples, 0.5 mL, were collected at 7, 15, 30, 60, 120, 180, and 240 minutes after dosing from all rats, and further blood samples were collected from the gavage cohort at 300, 360, 420 and 1440 minutes. Rats were kept in metabolism cages, and urine and faeces were collected, throughout the experiment. Rats in the IV cohort were killed 4 h after dose administration, while rats in the gavage cohort were killed 24 h after dose administration. Liver and intestinal contents were collected from all rats, and muscle tissue from the abdomen and legs was also collected from two rats in the gavage cohort. Samples were subject to extraction and purification of carnosic acid. Preliminary studies of eluents using β-glucuronidase and sulfatase confirmed that carnosic acid was not bound to sulphates or glycosides. Concentrations of carnosic acid in all samples were determined by a validated LC-MS method. Oral absorption was slow, with a T</w:t>
      </w:r>
      <w:r w:rsidRPr="00D03F63">
        <w:rPr>
          <w:vertAlign w:val="subscript"/>
          <w:lang w:eastAsia="en-AU"/>
        </w:rPr>
        <w:t>max</w:t>
      </w:r>
      <w:r w:rsidRPr="00D03F63">
        <w:rPr>
          <w:lang w:eastAsia="en-AU"/>
        </w:rPr>
        <w:t xml:space="preserve"> following gavage of 136.6 ± 151.5 min. Oral bioavailability (0-360 min) was calculated as 40.1%, and bioavailability (0-1440 </w:t>
      </w:r>
      <w:r w:rsidR="00AB675E">
        <w:rPr>
          <w:lang w:eastAsia="en-AU"/>
        </w:rPr>
        <w:t>m</w:t>
      </w:r>
      <w:r w:rsidRPr="00D03F63">
        <w:rPr>
          <w:lang w:eastAsia="en-AU"/>
        </w:rPr>
        <w:t xml:space="preserve">) was estimated to be 97%. Only traces of carnosic acid were detected in urine, while 15.6 ± 8.2% was found in the faeces. Only traces of carnosic acid were found in liver, gastrointestinal </w:t>
      </w:r>
      <w:r w:rsidRPr="00D03F63">
        <w:rPr>
          <w:lang w:eastAsia="en-AU"/>
        </w:rPr>
        <w:lastRenderedPageBreak/>
        <w:t xml:space="preserve">contents, and muscle. Analysis of data from the rats dosed intravenously showed that carnosic acid was cleared rapidly from the circulation, and was eliminated within 4 hours of IV administration (Doolaege </w:t>
      </w:r>
      <w:r w:rsidRPr="00D03F63">
        <w:rPr>
          <w:i/>
          <w:lang w:eastAsia="en-AU"/>
        </w:rPr>
        <w:t>et al.</w:t>
      </w:r>
      <w:r w:rsidRPr="00D03F63">
        <w:rPr>
          <w:lang w:eastAsia="en-AU"/>
        </w:rPr>
        <w:t xml:space="preserve"> 2011).</w:t>
      </w:r>
    </w:p>
    <w:p w14:paraId="188FE11B" w14:textId="77777777" w:rsidR="009E7F57" w:rsidRPr="00D03F63" w:rsidRDefault="009E7F57" w:rsidP="00D03F63">
      <w:pPr>
        <w:rPr>
          <w:lang w:eastAsia="en-AU"/>
        </w:rPr>
      </w:pPr>
    </w:p>
    <w:p w14:paraId="62BB8E57" w14:textId="57223873" w:rsidR="00D03F63" w:rsidRDefault="00D03F63" w:rsidP="00D03F63">
      <w:pPr>
        <w:rPr>
          <w:lang w:eastAsia="en-AU"/>
        </w:rPr>
      </w:pPr>
      <w:r w:rsidRPr="00D03F63">
        <w:rPr>
          <w:lang w:eastAsia="en-AU"/>
        </w:rPr>
        <w:t xml:space="preserve">It is noted that 3.5 mL blood was removed over 4 hours from all rats, and a total of 5.5 mL of blood was removed from rats in the gavage cohort over 24 hours. Given their bodyweight range of 200-330 g, the approximate blood volumes of these rats would have ranged from 13 to 21 mL. The blood loss in the first 4 hours of sampling would have represented 17 to 27% of their circulating blood volume, and the blood loss of the gavage cohort would have represented 26 to 42% of their total blood volume. These are high levels of blood loss which would have resulted in at least some degree of anaemia and hypovolaemia, and would be </w:t>
      </w:r>
      <w:r w:rsidR="00554C92">
        <w:rPr>
          <w:lang w:eastAsia="en-AU"/>
        </w:rPr>
        <w:t xml:space="preserve">very </w:t>
      </w:r>
      <w:r w:rsidRPr="00D03F63">
        <w:rPr>
          <w:lang w:eastAsia="en-AU"/>
        </w:rPr>
        <w:t>likely to affect the kinetics of any xenobiotic</w:t>
      </w:r>
      <w:r w:rsidR="00495378">
        <w:rPr>
          <w:lang w:eastAsia="en-AU"/>
        </w:rPr>
        <w:t xml:space="preserve">. </w:t>
      </w:r>
    </w:p>
    <w:p w14:paraId="50508F06" w14:textId="77777777" w:rsidR="009E7F57" w:rsidRPr="00D03F63" w:rsidRDefault="009E7F57" w:rsidP="00D03F63">
      <w:pPr>
        <w:rPr>
          <w:lang w:eastAsia="en-AU"/>
        </w:rPr>
      </w:pPr>
    </w:p>
    <w:p w14:paraId="3D8BB6D7" w14:textId="77777777" w:rsidR="00D03F63" w:rsidRPr="00D03F63" w:rsidRDefault="00D03F63" w:rsidP="00D03F63">
      <w:pPr>
        <w:rPr>
          <w:i/>
          <w:lang w:eastAsia="en-AU"/>
        </w:rPr>
      </w:pPr>
      <w:r w:rsidRPr="00D03F63">
        <w:rPr>
          <w:i/>
          <w:lang w:eastAsia="en-AU"/>
        </w:rPr>
        <w:t xml:space="preserve">Oral gavage study of the kinetics and metabolism of carnosic acid and related compounds in rats (Romo Vaquero </w:t>
      </w:r>
      <w:r w:rsidRPr="00D03F63">
        <w:rPr>
          <w:lang w:eastAsia="en-AU"/>
        </w:rPr>
        <w:t>et al.</w:t>
      </w:r>
      <w:r w:rsidRPr="00D03F63">
        <w:rPr>
          <w:i/>
          <w:lang w:eastAsia="en-AU"/>
        </w:rPr>
        <w:t xml:space="preserve"> 2013). Regulatory status: Non-GLP</w:t>
      </w:r>
    </w:p>
    <w:p w14:paraId="46D4E122" w14:textId="77777777" w:rsidR="005E04B6" w:rsidRDefault="005E04B6" w:rsidP="00D03F63">
      <w:pPr>
        <w:rPr>
          <w:lang w:eastAsia="en-AU"/>
        </w:rPr>
      </w:pPr>
    </w:p>
    <w:p w14:paraId="33F231E5" w14:textId="77777777" w:rsidR="00D03F63" w:rsidRPr="00D03F63" w:rsidRDefault="00D03F63" w:rsidP="00D03F63">
      <w:pPr>
        <w:rPr>
          <w:lang w:eastAsia="en-AU"/>
        </w:rPr>
      </w:pPr>
      <w:r w:rsidRPr="00D03F63">
        <w:rPr>
          <w:lang w:eastAsia="en-AU"/>
        </w:rPr>
        <w:t xml:space="preserve">The test article in this study was an ethanolic rosemary extract containing 38.9 ± 1.7% carnosic acid, 6.5 ± 0.1% carnosol, and 6.9 ±0.6% of a methylated derivative of carnosic acid. Other compounds detected but not quantified included rosmarinic acid, rosmanol epirosmanol, epiisorosmanol, epiisorosmanol ethyl ether, rosmadial, caffeic acid hexoside, medioresinol, isorhamnetin 3-O-hexoside, homoplantagin, cirsimaritin and 4’-methoxytectochrysin. In addition, the  extract contained carbohydrates (30.0%), fat (7.9%), ash (6.2%), water (2.2%), proteins (&lt;2.5%) and dietary fibre (1%). </w:t>
      </w:r>
    </w:p>
    <w:p w14:paraId="3C273C92" w14:textId="77777777" w:rsidR="005E04B6" w:rsidRDefault="005E04B6" w:rsidP="00D03F63">
      <w:pPr>
        <w:rPr>
          <w:lang w:eastAsia="en-AU"/>
        </w:rPr>
      </w:pPr>
    </w:p>
    <w:p w14:paraId="6D70E539" w14:textId="15D93CC4" w:rsidR="00D03F63" w:rsidRDefault="00D03F63" w:rsidP="00D03F63">
      <w:pPr>
        <w:rPr>
          <w:lang w:eastAsia="en-AU"/>
        </w:rPr>
      </w:pPr>
      <w:r w:rsidRPr="00D03F63">
        <w:rPr>
          <w:lang w:eastAsia="en-AU"/>
        </w:rPr>
        <w:t>The animals used were female Zucker Le (</w:t>
      </w:r>
      <w:r w:rsidRPr="00D03F63">
        <w:rPr>
          <w:i/>
          <w:lang w:eastAsia="en-AU"/>
        </w:rPr>
        <w:t>fa/+</w:t>
      </w:r>
      <w:r w:rsidRPr="00D03F63">
        <w:rPr>
          <w:lang w:eastAsia="en-AU"/>
        </w:rPr>
        <w:t>) and Ob (</w:t>
      </w:r>
      <w:r w:rsidRPr="00D03F63">
        <w:rPr>
          <w:i/>
          <w:lang w:eastAsia="en-AU"/>
        </w:rPr>
        <w:t>fa/fa</w:t>
      </w:r>
      <w:r w:rsidRPr="00D03F63">
        <w:rPr>
          <w:lang w:eastAsia="en-AU"/>
        </w:rPr>
        <w:t>) rats. The Zucker Ob (</w:t>
      </w:r>
      <w:r w:rsidRPr="00D03F63">
        <w:rPr>
          <w:i/>
          <w:lang w:eastAsia="en-AU"/>
        </w:rPr>
        <w:t>fa/fa</w:t>
      </w:r>
      <w:r w:rsidRPr="00D03F63">
        <w:rPr>
          <w:lang w:eastAsia="en-AU"/>
        </w:rPr>
        <w:t>) rat is a spontaneous genetic obesity model. Compared to the lean (</w:t>
      </w:r>
      <w:r w:rsidRPr="00D03F63">
        <w:rPr>
          <w:i/>
          <w:lang w:eastAsia="en-AU"/>
        </w:rPr>
        <w:t>fa</w:t>
      </w:r>
      <w:r w:rsidRPr="00D03F63">
        <w:rPr>
          <w:lang w:eastAsia="en-AU"/>
        </w:rPr>
        <w:t>/+) rat, the obese (</w:t>
      </w:r>
      <w:r w:rsidRPr="00D03F63">
        <w:rPr>
          <w:i/>
          <w:lang w:eastAsia="en-AU"/>
        </w:rPr>
        <w:t>fa/fa</w:t>
      </w:r>
      <w:r w:rsidRPr="00D03F63">
        <w:rPr>
          <w:lang w:eastAsia="en-AU"/>
        </w:rPr>
        <w:t xml:space="preserve">) rat exhibits hyperphagia, hyperinsulinemia, and hyperlipidemia, and has a number of differences in expression of hepatic enzymes when compared to the lean rat. </w:t>
      </w:r>
    </w:p>
    <w:p w14:paraId="49FCE32D" w14:textId="77777777" w:rsidR="00B75BBB" w:rsidRPr="00D03F63" w:rsidRDefault="00B75BBB" w:rsidP="00D03F63">
      <w:pPr>
        <w:rPr>
          <w:lang w:eastAsia="en-AU"/>
        </w:rPr>
      </w:pPr>
    </w:p>
    <w:p w14:paraId="1F169D0B" w14:textId="77777777" w:rsidR="00D03F63" w:rsidRDefault="00D03F63" w:rsidP="00D03F63">
      <w:pPr>
        <w:rPr>
          <w:lang w:eastAsia="en-AU"/>
        </w:rPr>
      </w:pPr>
      <w:r w:rsidRPr="00D03F63">
        <w:rPr>
          <w:lang w:eastAsia="en-AU"/>
        </w:rPr>
        <w:t xml:space="preserve">The first experiment in this study was carried out using only the lean Zucker rats. Rats were housed, 3/cage and fed a standard rat chow for three days before being assigned to either the control group (n=6) that remained on the standard chow or the treated group (n=18) that were fed the standard chow supplemented with rosemary extract at 0.5% w/w. After 15 days on their respective diets, rats were fasted overnight before the control group were gavaged with water and the treated group were gavaged with a 100 mg/mL suspension of rosemary extract, but the volume of the suspension administered is not stated, and therefore the dose cannot be determined. At 25, 50, 100, 250, 500 and 800 min after dosing, three rats from the treated group were killed by cardiac exsanguination under ketamine/xylazine anaesthesia, and plasma was processed for analysis. Terminal blood collection from the control rats was performed on three rats at each of 25 and 50 min. Gut content, brain and liver were collected from all rats. </w:t>
      </w:r>
    </w:p>
    <w:p w14:paraId="419360AC" w14:textId="77777777" w:rsidR="009E7F57" w:rsidRPr="00D03F63" w:rsidRDefault="009E7F57" w:rsidP="00D03F63">
      <w:pPr>
        <w:rPr>
          <w:lang w:eastAsia="en-AU"/>
        </w:rPr>
      </w:pPr>
    </w:p>
    <w:p w14:paraId="4DF090BB" w14:textId="77777777" w:rsidR="009E7F57" w:rsidRDefault="00D03F63" w:rsidP="00D03F63">
      <w:pPr>
        <w:rPr>
          <w:lang w:eastAsia="en-AU"/>
        </w:rPr>
      </w:pPr>
      <w:r w:rsidRPr="00D03F63">
        <w:rPr>
          <w:lang w:eastAsia="en-AU"/>
        </w:rPr>
        <w:t xml:space="preserve">The second experiment in the study was the analysis of plasma, small intestinal content, liver and brain from a previous 64-day dietary study for the main metabolites identified in the acute study. The control group in the 64-day study comprised 7 Zucker Le and 5 Zucker Ob female rats fed standard laboratory chow, while the treatment group comprised the same numbers of Zucker Le and Ob rats fed the standard chow supplemented with 0.5% w/w rosemary extract. </w:t>
      </w:r>
    </w:p>
    <w:p w14:paraId="20ED4581" w14:textId="77777777" w:rsidR="00D03F63" w:rsidRPr="00D03F63" w:rsidRDefault="00D03F63" w:rsidP="00D03F63">
      <w:pPr>
        <w:rPr>
          <w:lang w:eastAsia="en-AU"/>
        </w:rPr>
      </w:pPr>
      <w:r w:rsidRPr="00D03F63">
        <w:rPr>
          <w:lang w:eastAsia="en-AU"/>
        </w:rPr>
        <w:t xml:space="preserve"> </w:t>
      </w:r>
    </w:p>
    <w:p w14:paraId="49902B19" w14:textId="1F10B107" w:rsidR="009E7F57" w:rsidRDefault="00D03F63" w:rsidP="00D03F63">
      <w:r w:rsidRPr="00D03F63">
        <w:t>Plasma and tissue samples were processed for analysis by LC-MS/MS. In addition, representative tissue samples were treated with β-glucuronidase and analysis of filtrates by HPLC-DAD-MS was conducted before and after this treatment.</w:t>
      </w:r>
    </w:p>
    <w:p w14:paraId="3AD231A1" w14:textId="77777777" w:rsidR="00D03F63" w:rsidRPr="00D03F63" w:rsidRDefault="00D03F63" w:rsidP="00D03F63">
      <w:r w:rsidRPr="00D03F63">
        <w:t xml:space="preserve"> </w:t>
      </w:r>
    </w:p>
    <w:p w14:paraId="2CC6B545" w14:textId="77777777" w:rsidR="00D03F63" w:rsidRDefault="00D03F63" w:rsidP="00D03F63">
      <w:r w:rsidRPr="00D03F63">
        <w:t xml:space="preserve">A total of 26 compounds and metabolites were detected in at least some samples. There was evidence that Phase I metabolism included removal of carboxylic groups and water </w:t>
      </w:r>
      <w:r w:rsidRPr="00D03F63">
        <w:lastRenderedPageBreak/>
        <w:t xml:space="preserve">molecules. Phase II metabolites were detected, principally glucuronides, which included glucuronides of carnosic acid, rosmanol, carnosol, rosmadial and carnosic acid 12-methyl ether. Other metabolites positively or tentatively identified included sulphate derivatives of carnosol, carnosic acid and rosmanol; a glutathione carnosic acid derivative; two quinone derivatives and some methyl ether derivatives. </w:t>
      </w:r>
    </w:p>
    <w:p w14:paraId="5E24F25A" w14:textId="77777777" w:rsidR="009E7F57" w:rsidRPr="00D03F63" w:rsidRDefault="009E7F57" w:rsidP="00D03F63"/>
    <w:p w14:paraId="4A72622D" w14:textId="77777777" w:rsidR="00D03F63" w:rsidRDefault="00D03F63" w:rsidP="00D03F63">
      <w:r w:rsidRPr="00D03F63">
        <w:t>Following oral gavage, T</w:t>
      </w:r>
      <w:r w:rsidRPr="00D03F63">
        <w:rPr>
          <w:vertAlign w:val="subscript"/>
        </w:rPr>
        <w:t>max</w:t>
      </w:r>
      <w:r w:rsidRPr="00D03F63">
        <w:t xml:space="preserve"> for carnosic acid in plasma was 0.4 h and the average time for a molecule to reside in the body (MRT</w:t>
      </w:r>
      <w:r w:rsidRPr="00D03F63">
        <w:rPr>
          <w:vertAlign w:val="subscript"/>
        </w:rPr>
        <w:t>last</w:t>
      </w:r>
      <w:r w:rsidRPr="00D03F63">
        <w:t>) was calculated to be 0.6 h. In contrast, T</w:t>
      </w:r>
      <w:r w:rsidRPr="00D03F63">
        <w:rPr>
          <w:vertAlign w:val="subscript"/>
        </w:rPr>
        <w:t>max</w:t>
      </w:r>
      <w:r w:rsidRPr="00D03F63">
        <w:t xml:space="preserve"> of carnosol and carnosic acid 12-methyl ether was 13.3 h and MRT</w:t>
      </w:r>
      <w:r w:rsidRPr="00D03F63">
        <w:rPr>
          <w:vertAlign w:val="subscript"/>
        </w:rPr>
        <w:t xml:space="preserve">last </w:t>
      </w:r>
      <w:r w:rsidRPr="00D03F63">
        <w:t>was 8.5 h for carnosol and 7.8 h for carnosic acid 12-methyl ether. T</w:t>
      </w:r>
      <w:r w:rsidRPr="00D03F63">
        <w:rPr>
          <w:vertAlign w:val="subscript"/>
        </w:rPr>
        <w:t xml:space="preserve">max </w:t>
      </w:r>
      <w:r w:rsidRPr="00D03F63">
        <w:t>for the glucuronides of carnosic acid and carnosol were 13.3 h and 8.3 h respectively, and MRT</w:t>
      </w:r>
      <w:r w:rsidRPr="00D03F63">
        <w:rPr>
          <w:vertAlign w:val="subscript"/>
        </w:rPr>
        <w:t xml:space="preserve">last </w:t>
      </w:r>
      <w:r w:rsidRPr="00D03F63">
        <w:t xml:space="preserve">values were 8.4 and 7.9 h respectively. </w:t>
      </w:r>
    </w:p>
    <w:p w14:paraId="212D3F60" w14:textId="77777777" w:rsidR="009E7F57" w:rsidRPr="00D03F63" w:rsidRDefault="009E7F57" w:rsidP="00D03F63"/>
    <w:p w14:paraId="5FE51659" w14:textId="77777777" w:rsidR="009E7F57" w:rsidRDefault="00D03F63" w:rsidP="00D03F63">
      <w:r w:rsidRPr="00D03F63">
        <w:t xml:space="preserve">Results showed that glucuronidation is the predominant form of conjugation of the diterpenoids in rosemary extract, and glucuronides may appear in the gut lumen as soon as 25 min after dosing, consistent with rapid excretion of glucuronides in the bile. Other major metabolites were a methylated derivative of carnosic acid and a quinone derivative. No major differences in metabolism were found between Zucker Le and Zucker Ob rats. </w:t>
      </w:r>
    </w:p>
    <w:p w14:paraId="72973151" w14:textId="77777777" w:rsidR="00D03F63" w:rsidRPr="00D03F63" w:rsidRDefault="00D03F63" w:rsidP="00D03F63">
      <w:r w:rsidRPr="00D03F63">
        <w:t xml:space="preserve"> </w:t>
      </w:r>
    </w:p>
    <w:p w14:paraId="2D4BDA3A" w14:textId="77777777" w:rsidR="00D03F63" w:rsidRPr="00D03F63" w:rsidRDefault="00D03F63" w:rsidP="00D03F63">
      <w:pPr>
        <w:rPr>
          <w:i/>
        </w:rPr>
      </w:pPr>
      <w:r w:rsidRPr="009E7F57">
        <w:rPr>
          <w:i/>
        </w:rPr>
        <w:t>In vitro and in vivo</w:t>
      </w:r>
      <w:r w:rsidRPr="00D03F63">
        <w:rPr>
          <w:i/>
        </w:rPr>
        <w:t xml:space="preserve"> study of the metabolites of carnosic acid (Song </w:t>
      </w:r>
      <w:r w:rsidRPr="00D03F63">
        <w:t>et al.</w:t>
      </w:r>
      <w:r w:rsidRPr="00D03F63">
        <w:rPr>
          <w:i/>
        </w:rPr>
        <w:t xml:space="preserve"> 2014</w:t>
      </w:r>
      <w:r w:rsidRPr="00D03F63">
        <w:t xml:space="preserve">). </w:t>
      </w:r>
      <w:r w:rsidRPr="00D03F63">
        <w:rPr>
          <w:i/>
        </w:rPr>
        <w:t>Regulatory status: Non-GLP</w:t>
      </w:r>
    </w:p>
    <w:p w14:paraId="5256A4C8" w14:textId="77777777" w:rsidR="005E04B6" w:rsidRDefault="005E04B6" w:rsidP="00D03F63"/>
    <w:p w14:paraId="51FFA8D4" w14:textId="77777777" w:rsidR="00D03F63" w:rsidRPr="00D03F63" w:rsidRDefault="00D03F63" w:rsidP="00D03F63">
      <w:r w:rsidRPr="00D03F63">
        <w:t xml:space="preserve">The test article for this study was carnosic acid prepared from rosemary leaves by the study authors. Test systems included human liver microsomes (HLMs), human intestinal microsomes (HIMs), rat liver microsomes (RLMs), two strains of the fungus </w:t>
      </w:r>
      <w:r w:rsidRPr="00D03F63">
        <w:rPr>
          <w:i/>
        </w:rPr>
        <w:t>Cunninghamella elegans</w:t>
      </w:r>
      <w:r w:rsidRPr="00D03F63">
        <w:t xml:space="preserve">, and young (approximately 250 g) male Sprague Dawley rats. </w:t>
      </w:r>
    </w:p>
    <w:p w14:paraId="196A5751" w14:textId="77777777" w:rsidR="005E04B6" w:rsidRDefault="005E04B6" w:rsidP="00D03F63"/>
    <w:p w14:paraId="57FCAAF9" w14:textId="77777777" w:rsidR="00D03F63" w:rsidRDefault="00D03F63" w:rsidP="00D03F63">
      <w:r w:rsidRPr="00D03F63">
        <w:t xml:space="preserve">Only carnosic acid was used for the </w:t>
      </w:r>
      <w:r w:rsidRPr="00D03F63">
        <w:rPr>
          <w:i/>
        </w:rPr>
        <w:t>in vivo</w:t>
      </w:r>
      <w:r w:rsidRPr="00D03F63">
        <w:t xml:space="preserve"> part of the study. Rats were housed individually in metabolic cages under standard laboratory environmental conditions, with </w:t>
      </w:r>
      <w:r w:rsidRPr="00D03F63">
        <w:rPr>
          <w:i/>
        </w:rPr>
        <w:t>ad libitum</w:t>
      </w:r>
      <w:r w:rsidRPr="00D03F63">
        <w:t xml:space="preserve"> access to food and water, with the exception of overnight fasting prior to dose administration. Rats, 3/group, were assigned to either a control group or a treated group. The vehicle/control article was 10% aqueous Tween-80, the dose volume for both groups was 2 mL/rat, and rats in the treated group were administered carnosic acid at 90 mg/kg bw. The dose formulation of carnosic acid was prepared shortly before dose administration. Urine and faeces from 0-24 h postdosing were collected on ice and pooled within groups. Extracts from urine and faeces were analysed using LC-UV-MS/MS. Twelve metabolites were identified in urine, and six in faeces. Oxidation, glucuronidation and methylation were identified as the major pathways of metabolism. </w:t>
      </w:r>
    </w:p>
    <w:p w14:paraId="13380A1F" w14:textId="77777777" w:rsidR="009E7F57" w:rsidRPr="00D03F63" w:rsidRDefault="009E7F57" w:rsidP="00D03F63"/>
    <w:p w14:paraId="67E8FDCF" w14:textId="77777777" w:rsidR="009E7F57" w:rsidRDefault="00D03F63" w:rsidP="00D03F63">
      <w:r w:rsidRPr="00D03F63">
        <w:t xml:space="preserve">For the </w:t>
      </w:r>
      <w:r w:rsidRPr="00D03F63">
        <w:rPr>
          <w:i/>
        </w:rPr>
        <w:t>in vitro</w:t>
      </w:r>
      <w:r w:rsidRPr="00D03F63">
        <w:t xml:space="preserve"> investigations with microsomes, carnosic acid at a final concentration of 100  µmol/L was incubated with 1 mg/mL of HLMs, HIMs or RLMs in 0.1 mol/L potassium phosphate buffer at 37ºC for 60 min with continuous shaking. Reactions were initiated by addition of NADPH-generating system (β-NADP</w:t>
      </w:r>
      <w:r w:rsidRPr="00D03F63">
        <w:rPr>
          <w:vertAlign w:val="superscript"/>
        </w:rPr>
        <w:t>+</w:t>
      </w:r>
      <w:r w:rsidRPr="00D03F63">
        <w:t xml:space="preserve">, glucose-6-phosphate, glucose-6-phosphate dehydrogenase, and magnesium dichloride) and quenched by addition of ice-cold acetonitrile. Parallel control systems included incubation with denatured microsomal proteins, absence of incubation, incubation in the absence of the NADPH-generating system, and incubation without carnosic acid. For the </w:t>
      </w:r>
      <w:r w:rsidRPr="00D03F63">
        <w:rPr>
          <w:i/>
        </w:rPr>
        <w:t>in vitro</w:t>
      </w:r>
      <w:r w:rsidRPr="00D03F63">
        <w:t xml:space="preserve"> investigations with </w:t>
      </w:r>
      <w:r w:rsidRPr="00D03F63">
        <w:rPr>
          <w:i/>
        </w:rPr>
        <w:t>Cunninghamella elegans</w:t>
      </w:r>
      <w:r w:rsidRPr="00D03F63">
        <w:t xml:space="preserve">, freshly prepared carnosic acid solution was added to a final concentration of 100 µmol/L to cultures of the fungus, and the cultures were incubated for 5 days. Parallel control systems were cultures without added carnosic acid, and cultures with carnosic acid that were not incubated. For all the </w:t>
      </w:r>
      <w:r w:rsidRPr="00D03F63">
        <w:rPr>
          <w:i/>
        </w:rPr>
        <w:t>in vitro</w:t>
      </w:r>
      <w:r w:rsidRPr="00D03F63">
        <w:t xml:space="preserve"> experiments, supernatants after centrifugation were analysed by LC-UV-MS/MS. All experiments were conducted in triplicate. A total of ten metabolites and three degradation products of carnosic acid were identified in the </w:t>
      </w:r>
      <w:r w:rsidRPr="00D03F63">
        <w:rPr>
          <w:i/>
        </w:rPr>
        <w:t>in vitro</w:t>
      </w:r>
      <w:r w:rsidRPr="00D03F63">
        <w:t xml:space="preserve"> experiments. Glucuronidation and oxidation were the major metabolic pathways. The biotransformation pathways observed with human microsomes and rat microsomes were practically identical.</w:t>
      </w:r>
    </w:p>
    <w:p w14:paraId="705DD107" w14:textId="77777777" w:rsidR="00D03F63" w:rsidRPr="00D03F63" w:rsidRDefault="00D03F63" w:rsidP="00D03F63">
      <w:r w:rsidRPr="00D03F63">
        <w:lastRenderedPageBreak/>
        <w:t xml:space="preserve"> </w:t>
      </w:r>
    </w:p>
    <w:p w14:paraId="5A28E9C9" w14:textId="77777777" w:rsidR="00D03F63" w:rsidRPr="00D03F63" w:rsidRDefault="00D03F63" w:rsidP="00D03F63">
      <w:pPr>
        <w:rPr>
          <w:i/>
        </w:rPr>
      </w:pPr>
      <w:r w:rsidRPr="00D03F63">
        <w:rPr>
          <w:i/>
        </w:rPr>
        <w:t xml:space="preserve">Study of the kinetics of carnosic acid, carnosol and rosmanol in rats (Wang </w:t>
      </w:r>
      <w:r w:rsidRPr="00D03F63">
        <w:t>et al</w:t>
      </w:r>
      <w:r w:rsidRPr="00D03F63">
        <w:rPr>
          <w:i/>
        </w:rPr>
        <w:t>. 2017). Regulatory status: Non-GLP</w:t>
      </w:r>
    </w:p>
    <w:p w14:paraId="4DE5E3E4" w14:textId="77777777" w:rsidR="005E04B6" w:rsidRDefault="005E04B6" w:rsidP="00D03F63"/>
    <w:p w14:paraId="6E9DA1C1" w14:textId="77777777" w:rsidR="009E7F57" w:rsidRDefault="00D03F63" w:rsidP="00D03F63">
      <w:r w:rsidRPr="00D03F63">
        <w:t xml:space="preserve">The study was conducted using a rosemary extract prepared in the testing laboratory. 100 g of dried leaves of </w:t>
      </w:r>
      <w:r w:rsidRPr="00D03F63">
        <w:rPr>
          <w:i/>
        </w:rPr>
        <w:t>Rosmarinus officinalis</w:t>
      </w:r>
      <w:r w:rsidRPr="00D03F63">
        <w:t xml:space="preserve"> were extracted under reflux with 1 L ethanol:water, 80:20 v/v. The extraction was conducted three times, for 1 hour each extraction. The extract was then filtered and the combined filtrate evaporated to dryness, then dissolved in water. The final concentration was equivalent to 0.1 g/mL. Male Sprague Dawley rats weighing 220 ±50 g were acclimatised to environmental conditions of 65% relative humidity and 23-27ºC for an unspecified period. Rats were assigned, 6/group, to three dose groups. Rats had </w:t>
      </w:r>
      <w:r w:rsidRPr="00D03F63">
        <w:rPr>
          <w:i/>
        </w:rPr>
        <w:t>ad libitum</w:t>
      </w:r>
      <w:r w:rsidRPr="00D03F63">
        <w:t xml:space="preserve"> access to water throughout the experiment but were fasted for 12 h before being gavaged with 0.24, 0.82 or 2.45 g/kg bw rosemary extract. Blood, 0.25 mL/timepoint, was collected from the orbital venous plexus at 0.08, 0.25, 0.50, 1, 1.5, 2, 3, 4, 6, 8, 12 and 24 h after dose administration. Plasma was analysed for carnosic acid, carnosol and rosmanol. Mean pharmacokinetic values were as follows: For carnosic acid, t</w:t>
      </w:r>
      <w:r w:rsidRPr="00D03F63">
        <w:rPr>
          <w:vertAlign w:val="subscript"/>
        </w:rPr>
        <w:t>max</w:t>
      </w:r>
      <w:r w:rsidRPr="00D03F63">
        <w:t xml:space="preserve"> 0.3 to 0.5 h and t</w:t>
      </w:r>
      <w:r w:rsidRPr="00D03F63">
        <w:rPr>
          <w:vertAlign w:val="subscript"/>
        </w:rPr>
        <w:t xml:space="preserve">1/2 </w:t>
      </w:r>
      <w:r w:rsidRPr="00D03F63">
        <w:t>8.02 to 12.84 h; for carnosol, t</w:t>
      </w:r>
      <w:r w:rsidRPr="00D03F63">
        <w:rPr>
          <w:vertAlign w:val="subscript"/>
        </w:rPr>
        <w:t>max</w:t>
      </w:r>
      <w:r w:rsidRPr="00D03F63">
        <w:t xml:space="preserve"> 0.4 to 0.7 h and t</w:t>
      </w:r>
      <w:r w:rsidRPr="00D03F63">
        <w:rPr>
          <w:vertAlign w:val="subscript"/>
        </w:rPr>
        <w:t xml:space="preserve">1/2 </w:t>
      </w:r>
      <w:r w:rsidRPr="00D03F63">
        <w:t>12.3 to 12.8 h; for rosmanol, t</w:t>
      </w:r>
      <w:r w:rsidRPr="00D03F63">
        <w:rPr>
          <w:vertAlign w:val="subscript"/>
        </w:rPr>
        <w:t>max</w:t>
      </w:r>
      <w:r w:rsidRPr="00D03F63">
        <w:t xml:space="preserve"> 0.25 to 0.55 h and t</w:t>
      </w:r>
      <w:r w:rsidRPr="00D03F63">
        <w:rPr>
          <w:vertAlign w:val="subscript"/>
        </w:rPr>
        <w:t xml:space="preserve">1/2 </w:t>
      </w:r>
      <w:r w:rsidRPr="00D03F63">
        <w:t xml:space="preserve">8.88 to 15.4 h. The authors remarked on a double-peak phenomenon in the elimination phase of the mean plasma concentration vs. time profiles, particularly of carnosic acid and carnosol in the rats dosed with 2.45 g/kg bw of rosemary extract, which may indicate enterohepatic cycling (Wang </w:t>
      </w:r>
      <w:r w:rsidRPr="00D03F63">
        <w:rPr>
          <w:i/>
        </w:rPr>
        <w:t>et al</w:t>
      </w:r>
      <w:r w:rsidR="009E7F57">
        <w:t>. 2017).</w:t>
      </w:r>
    </w:p>
    <w:p w14:paraId="30534BDF" w14:textId="77777777" w:rsidR="00D03F63" w:rsidRPr="00D03F63" w:rsidRDefault="00D03F63" w:rsidP="00D03F63">
      <w:r w:rsidRPr="00D03F63">
        <w:t xml:space="preserve"> </w:t>
      </w:r>
    </w:p>
    <w:p w14:paraId="06926D14" w14:textId="69E9D4CC" w:rsidR="00D03F63" w:rsidRDefault="00D03F63" w:rsidP="00D03F63">
      <w:r w:rsidRPr="00D03F63">
        <w:t xml:space="preserve">The paper states that each point on the mean plasma concentration vs. time profile, and each mean pharmacokinetic parameter, is based on </w:t>
      </w:r>
      <w:r w:rsidRPr="00D03F63">
        <w:rPr>
          <w:i/>
        </w:rPr>
        <w:t>n</w:t>
      </w:r>
      <w:r w:rsidRPr="00D03F63">
        <w:t xml:space="preserve"> = 6. It appears that all rats were bled at each timepoint, which in rats weighing 220 g would represent a loss of approximately 21% of their blood volume in 24 hours. This level of blood loss would be </w:t>
      </w:r>
      <w:r w:rsidR="00554C92">
        <w:t xml:space="preserve">very </w:t>
      </w:r>
      <w:r w:rsidRPr="00D03F63">
        <w:t>likely to affect xenobiotic kinetics and would cause some degree of anaemi</w:t>
      </w:r>
      <w:r w:rsidR="009E7F57">
        <w:t>a and hypovolaemia in the rats.</w:t>
      </w:r>
    </w:p>
    <w:p w14:paraId="3A6F3B2F" w14:textId="77777777" w:rsidR="009E7F57" w:rsidRPr="00D03F63" w:rsidRDefault="009E7F57" w:rsidP="00D03F63"/>
    <w:p w14:paraId="583E4646" w14:textId="77777777" w:rsidR="009E7F57" w:rsidRPr="009E7F57" w:rsidRDefault="00D03F63" w:rsidP="00D03F63">
      <w:pPr>
        <w:rPr>
          <w:i/>
        </w:rPr>
      </w:pPr>
      <w:r w:rsidRPr="009E7F57">
        <w:rPr>
          <w:i/>
        </w:rPr>
        <w:t>Summary of toxicokinetic studies</w:t>
      </w:r>
    </w:p>
    <w:p w14:paraId="50A2D919" w14:textId="77777777" w:rsidR="005E04B6" w:rsidRDefault="005E04B6" w:rsidP="00D03F63"/>
    <w:p w14:paraId="681AE137" w14:textId="54C40C82" w:rsidR="00D03F63" w:rsidRDefault="009E7F57" w:rsidP="00D03F63">
      <w:r>
        <w:t>T</w:t>
      </w:r>
      <w:r w:rsidR="00D03F63" w:rsidRPr="00D03F63">
        <w:t xml:space="preserve">here have been several studies on the kinetics and metabolism of carnosic acid and other constituents of rosemary extract in rodents, although the value of </w:t>
      </w:r>
      <w:r w:rsidR="00554C92">
        <w:t>most</w:t>
      </w:r>
      <w:r w:rsidR="00554C92" w:rsidRPr="00D03F63">
        <w:t xml:space="preserve"> </w:t>
      </w:r>
      <w:r w:rsidR="00D03F63" w:rsidRPr="00D03F63">
        <w:t xml:space="preserve">of the studies is compromised by the removal of excessive amounts of blood. Estimated oral bioavailability of carnosic acid over 24 hours ranged from 65% (Yan </w:t>
      </w:r>
      <w:r w:rsidR="00D03F63" w:rsidRPr="00D03F63">
        <w:rPr>
          <w:i/>
        </w:rPr>
        <w:t>et al.</w:t>
      </w:r>
      <w:r w:rsidR="00D03F63" w:rsidRPr="00D03F63">
        <w:t xml:space="preserve"> 2009) to 97% </w:t>
      </w:r>
      <w:r w:rsidR="00B87185">
        <w:fldChar w:fldCharType="begin"/>
      </w:r>
      <w:r w:rsidR="00B87185">
        <w:instrText>ADDIN CITAVI.PLACEHOLDER 496fcdc5-34c7-4e35-a4f4-a026adfbd057 PFBsYWNlaG9sZGVyPg0KICA8QWRkSW5WZXJzaW9uPjUuNS4wLjE8L0FkZEluVmVyc2lvbj4NCiAgPElkPjQ5NmZjZGM1LTM0YzctNGUzNS1hNGY0LWEwMjZhZGZiZDA1NzwvSWQ+DQogIDxFbnRyaWVzPg0KICAgIDxFbnRyeT4NCiAgICAgIDxJZD4zOTZhOTUwOS1iNmI1LTQ1ZmMtYmRhYy00NTRiNjU4YjkxMWI8L0lkPg0KICAgICAgPFJlZmVyZW5jZUlkPjhlNTUzODk0LWRiZGQtNDRlZC04ZTk2LTcwM2I2NmUxYTc4Y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RXZlbHluZTwvRmlyc3ROYW1lPg0KICAgICAgICAgICAgPExhc3ROYW1lPkRvb2xhZWdlPC9MYXN0TmFtZT4NCiAgICAgICAgICAgIDxNaWRkbGVOYW1lPkguIEEuPC9NaWRkbGVOYW1lPg0KICAgICAgICAgICAgPFNleD5GZW1hbGU8L1NleD4NCiAgICAgICAgICA8L1BlcnNvbj4NCiAgICAgICAgICA8UGVyc29uPg0KICAgICAgICAgICAgPEZpcnN0TmFtZT5LYXRsZWVuPC9GaXJzdE5hbWU+DQogICAgICAgICAgICA8TGFzdE5hbWU+UmFlczwvTGFzdE5hbWU+DQogICAgICAgICAgPC9QZXJzb24+DQogICAgICAgICAgPFBlcnNvbj4NCiAgICAgICAgICAgIDxGaXJzdE5hbWU+RmlsaXA8L0ZpcnN0TmFtZT4NCiAgICAgICAgICAgIDxMYXN0TmFtZT5Wb3M8L0xhc3ROYW1lPg0KICAgICAgICAgICAgPFByZWZpeD5kZTwvUHJlZml4Pg0KICAgICAgICAgICAgPFNleD5NYWxlPC9TZXg+DQogICAgICAgICAgPC9QZXJzb24+DQogICAgICAgICAgPFBlcnNvbj4NCiAgICAgICAgICAgIDxGaXJzdE5hbWU+Um9sYW5kPC9GaXJzdE5hbWU+DQogICAgICAgICAgICA8TGFzdE5hbWU+VmVyaMOpPC9MYXN0TmFtZT4NCiAgICAgICAgICAgIDxTZXg+TWFsZTwvU2V4Pg0KICAgICAgICAgIDwvUGVyc29uPg0KICAgICAgICAgIDxQZXJzb24+DQogICAgICAgICAgICA8Rmlyc3ROYW1lPlN0ZWZhYW48L0ZpcnN0TmFtZT4NCiAgICAgICAgICAgIDxMYXN0TmFtZT5TbWV0PC9MYXN0TmFtZT4NCiAgICAgICAgICAgIDxQcmVmaXg+ZGU8L1ByZWZpeD4NCiAgICAgICAgICA8L1BlcnNvbj4NCiAgICAgICAgPC9BdXRob3JzPg0KICAgICAgICA8RGF0ZT4xLzA2LzIwMTE8L0RhdGU+DQogICAgICAgIDxEb2k+MTAuMTAwNy9zMTExMzAtMDExLTAyMzMtNTwvRG9pPg0KICAgICAgICA8SWQ+OGU1NTM4OTQtZGJkZC00NGVkLThlOTYtNzAzYjY2ZTFhNzhhPC9JZD4NCiAgICAgICAgPExvY2F0aW9ucz4NCiAgICAgICAgICA8TG9jYXRpb24+DQogICAgICAgICAgICA8QWRkcmVzcz5odHRwczovL2RvaS5vcmcvMTAuMTAwNy9zMTExMzAtMDExLTAyMzMtNTwvQWRkcmVzcz4NCiAgICAgICAgICAgIDxMb2NhdGlvblR5cGU+RWxlY3Ryb25pY0FkZHJlc3M8L0xvY2F0aW9uVHlwZT4NCiAgICAgICAgICA8L0xvY2F0aW9uPg0KICAgICAgICAgIDxMb2NhdGlvbj4NCiAgICAgICAgICAgIDxBZGRyZXNzPjEwLjEwMDcvczExMTMwLTAxMS0wMjMzLTU8L0FkZHJlc3M+DQogICAgICAgICAgICA8TG9jYXRpb25UeXBlPkVsZWN0cm9uaWNBZGRyZXNzPC9Mb2NhdGlvblR5cGU+DQogICAgICAgICAgPC9Mb2NhdGlvbj4NCiAgICAgICAgPC9Mb2NhdGlvbnM+DQogICAgICAgIDxOdW1iZXI+MjwvTnVtYmVyPg0KICAgICAgICA8UGFnZVJhbmdlPjwhW0NEQVRBWzxzcD4NCiAgPG4+MTk2PC9uPg0KICA8aW4+dHJ1ZTwvaW4+DQogIDxvcz4xOTY8L29zPg0KICA8cHM+MTk2PC9wcz4NCjwvc3A+DQo8ZXA+DQogIDxuPjIwMjwvbj4NCiAgPGluPnRydWU8L2luPg0KICA8b3M+MjAyPC9vcz4NCiAgPHBzPjIwMjwvcHM+DQo8L2VwPg0KPG9zPjE5NuKAkzIwMjwvb3M+XV0+PC9QYWdlUmFuZ2U+DQogICAgICAgIDxFbmRQYWdlPjIwMjwvRW5kUGFnZT4NCiAgICAgICAgPFN0YXJ0UGFnZT4xOTY8L1N0YXJ0UGFnZT4NCiAgICAgICAgPFBlcmlvZGljYWw+DQogICAgICAgICAgPElzc24+MTU3My05MTA0PC9Jc3NuPg0KICAgICAgICAgIDxOYW1lPlBsYW50IEZvb2RzIGZvciBIdW1hbiBOdXRyaXRpb248L05hbWU+DQogICAgICAgIDwvUGVyaW9kaWNhbD4NCiAgICAgICAgPFNob3J0VGl0bGU+RG9vbGFlZ2UsIFJhZXMgZXQgYWwuIDIwMTEg4oCTIEFic29ycHRpb248L1Nob3J0VGl0bGU+DQogICAgICAgIDxTb3VyY2VPZkJpYmxpb2dyYXBoaWNJbmZvcm1hdGlvbj5SSVM8L1NvdXJjZU9mQmlibGlvZ3JhcGhpY0luZm9ybWF0aW9uPg0KICAgICAgICA8VGl0bGU+QWJzb3JwdGlvbiwgRGlzdHJpYnV0aW9uIGFuZCBFbGltaW5hdGlvbiBvZiBDYXJub3NpYyBBY2lkLCBBIE5hdHVyYWwgQW50aW94aWRhbnQgZnJvbSBSb3NtYXJpbnVzIG9mZmljaW5hbGlzLCBpbiBSYXRzPC9UaXRsZT4NCiAgICAgICAgPFZvbHVtZT42NjwvVm9sdW1lPg0KICAgICAgICA8WWVhcj4yMDExPC9ZZWFyPg0KICAgICAgPC9SZWZlcmVuY2U+DQogICAgPC9FbnRyeT4NCiAgPC9FbnRyaWVzPg0KICA8VGV4dD4oRG9vbGFlZ2UgZXQgYWwu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Eb29sYWVnZSBldCBhbC4gMjAxMSk8L1RleHQ+DQogICAgPC9UZXh0VW5pdD4NCiAgPC9UZXh0VW5pdHM+DQo8L1BsYWNlaG9sZGVyPg==</w:instrText>
      </w:r>
      <w:r w:rsidR="00B87185">
        <w:fldChar w:fldCharType="separate"/>
      </w:r>
      <w:bookmarkStart w:id="95" w:name="_CTVP001496fcdc534c74e35a4f4a026adfbd057"/>
      <w:r w:rsidR="002F200C">
        <w:t>(Doolaege et al. 2011)</w:t>
      </w:r>
      <w:bookmarkEnd w:id="95"/>
      <w:r w:rsidR="00B87185">
        <w:fldChar w:fldCharType="end"/>
      </w:r>
      <w:r w:rsidR="00D03F63" w:rsidRPr="00D03F63">
        <w:t>. Group mean T</w:t>
      </w:r>
      <w:r w:rsidR="00D03F63" w:rsidRPr="00D03F63">
        <w:rPr>
          <w:vertAlign w:val="subscript"/>
        </w:rPr>
        <w:t>max</w:t>
      </w:r>
      <w:r w:rsidR="00D03F63" w:rsidRPr="00D03F63">
        <w:t xml:space="preserve"> following oral gavage ranged from 20 min (Wang </w:t>
      </w:r>
      <w:r w:rsidR="00D03F63" w:rsidRPr="00D03F63">
        <w:rPr>
          <w:i/>
        </w:rPr>
        <w:t>et al.</w:t>
      </w:r>
      <w:r w:rsidR="00D03F63" w:rsidRPr="00D03F63">
        <w:t xml:space="preserve"> 2017) to 136.6 min (Doolaege </w:t>
      </w:r>
      <w:r w:rsidR="00D03F63" w:rsidRPr="00D03F63">
        <w:rPr>
          <w:i/>
        </w:rPr>
        <w:t>et al.</w:t>
      </w:r>
      <w:r w:rsidR="00D03F63" w:rsidRPr="00D03F63">
        <w:t xml:space="preserve"> 2011), although this may reflect different vehicles because Romo Vaquero </w:t>
      </w:r>
      <w:r w:rsidR="00D03F63" w:rsidRPr="00D03F63">
        <w:rPr>
          <w:i/>
        </w:rPr>
        <w:t>et al</w:t>
      </w:r>
      <w:r w:rsidR="00D03F63" w:rsidRPr="00D03F63">
        <w:t xml:space="preserve">. (2013) and Wang </w:t>
      </w:r>
      <w:r w:rsidR="00D03F63" w:rsidRPr="00D03F63">
        <w:rPr>
          <w:i/>
        </w:rPr>
        <w:t>et al.</w:t>
      </w:r>
      <w:r w:rsidR="00D03F63" w:rsidRPr="00D03F63">
        <w:t xml:space="preserve"> (2017) both used water as the vehicle and reported T</w:t>
      </w:r>
      <w:r w:rsidR="00D03F63" w:rsidRPr="00D03F63">
        <w:rPr>
          <w:vertAlign w:val="subscript"/>
        </w:rPr>
        <w:t>max</w:t>
      </w:r>
      <w:r w:rsidR="00D03F63" w:rsidRPr="00D03F63">
        <w:t xml:space="preserve"> of 40 min and 20-30 min respectively, whereas Doolaege </w:t>
      </w:r>
      <w:r w:rsidR="00D03F63" w:rsidRPr="00D03F63">
        <w:rPr>
          <w:i/>
        </w:rPr>
        <w:t>et al.</w:t>
      </w:r>
      <w:r w:rsidR="00D03F63" w:rsidRPr="00D03F63">
        <w:t xml:space="preserve"> (2011) used PEG400 as the vehicle. Most of the studies did not investigate distribution, although Doolaege </w:t>
      </w:r>
      <w:r w:rsidR="00D03F63" w:rsidRPr="00D03F63">
        <w:rPr>
          <w:i/>
        </w:rPr>
        <w:t>et al</w:t>
      </w:r>
      <w:r w:rsidR="00D03F63" w:rsidRPr="00D03F63">
        <w:t xml:space="preserve">. (2011) reported that only traces of carnosic acid were found in liver, gastrointestinal contents or muscle. Apparent volume of distribution was 3.228 (±2.628) L/kg (Yan et al.(2009). Yan </w:t>
      </w:r>
      <w:r w:rsidR="00D03F63" w:rsidRPr="00D03F63">
        <w:rPr>
          <w:i/>
        </w:rPr>
        <w:t>et al</w:t>
      </w:r>
      <w:r w:rsidR="00D03F63" w:rsidRPr="00D03F63">
        <w:t>. (2009) reported a prolonged t</w:t>
      </w:r>
      <w:r w:rsidR="00D03F63" w:rsidRPr="00D03F63">
        <w:rPr>
          <w:vertAlign w:val="subscript"/>
        </w:rPr>
        <w:t xml:space="preserve">1/2 </w:t>
      </w:r>
      <w:r w:rsidR="00D03F63" w:rsidRPr="00D03F63">
        <w:t xml:space="preserve">for carnosic acid in plasma of 961.5 (±889.9) min with a slow clearance at 0.003 (±0.002) L/min/kg. In contrast, Doolaege et al. (2011) found that after intravenous dosing, carnosic acid was cleared rapidly from the circulation and eliminated within 4 hours, and Romo Vaquero </w:t>
      </w:r>
      <w:r w:rsidR="00D03F63" w:rsidRPr="00D03F63">
        <w:rPr>
          <w:i/>
        </w:rPr>
        <w:t>et al.</w:t>
      </w:r>
      <w:r w:rsidR="00D03F63" w:rsidRPr="00D03F63">
        <w:t xml:space="preserve"> (2013) calculated an MRT</w:t>
      </w:r>
      <w:r w:rsidR="00D03F63" w:rsidRPr="00D03F63">
        <w:rPr>
          <w:vertAlign w:val="subscript"/>
        </w:rPr>
        <w:t xml:space="preserve">last </w:t>
      </w:r>
      <w:r w:rsidR="00D03F63" w:rsidRPr="00D03F63">
        <w:t xml:space="preserve">for carnosic acid of only 0.6 h. A wide range of metabolites of carnosic acid have been detected. Oxidation, glucuronidation and methylation are the major pathways of metabolism (Song </w:t>
      </w:r>
      <w:r w:rsidR="00D03F63" w:rsidRPr="00D03F63">
        <w:rPr>
          <w:i/>
        </w:rPr>
        <w:t>et al</w:t>
      </w:r>
      <w:r w:rsidR="00D03F63" w:rsidRPr="00D03F63">
        <w:t>. 2014). Glucuronides are detectable in the bile soon after dosing</w:t>
      </w:r>
      <w:r w:rsidR="00B87185">
        <w:t xml:space="preserve"> </w:t>
      </w:r>
      <w:r w:rsidR="004123D1">
        <w:fldChar w:fldCharType="begin"/>
      </w:r>
      <w:r w:rsidR="004123D1">
        <w:instrText>ADDIN CITAVI.PLACEHOLDER 3ecf8312-ba65-4090-bd12-516af9f41cc4 PFBsYWNlaG9sZGVyPg0KICA8QWRkSW5WZXJzaW9uPjUuNS4wLjE8L0FkZEluVmVyc2lvbj4NCiAgPElkPjNlY2Y4MzEyLWJhNjUtNDA5MC1iZDEyLTUxNmFmOWY0MWNjNDwvSWQ+DQogIDxFbnRyaWVzPg0KICAgIDxFbnRyeT4NCiAgICAgIDxJZD43NGQzNmNiYi04MjM0LTRmNGItYjQ3ZC0xYzA2ODI0YjhlNTg8L0lkPg0KICAgICAgPFJlZmVyZW5jZUlkPjQ2MmI0YWFmLTBmYTUtNGRjMC05Y2YxLTk4MzJkMTMwOGMwZj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TWFyaWE8L0ZpcnN0TmFtZT4NCiAgICAgICAgICAgIDxMYXN0TmFtZT5Sb21vIFZhcXVlcm88L0xhc3ROYW1lPg0KICAgICAgICAgICAgPFNleD5GZW1hbGU8L1NleD4NCiAgICAgICAgICA8L1BlcnNvbj4NCiAgICAgICAgICA8UGVyc29uPg0KICAgICAgICAgICAgPEZpcnN0TmFtZT5Sb2NpbzwvRmlyc3ROYW1lPg0KICAgICAgICAgICAgPExhc3ROYW1lPkdhcmNpYSBWaWxsYWxiYTwvTGFzdE5hbWU+DQogICAgICAgICAgICA8U2V4PkZlbWFsZTwvU2V4Pg0KICAgICAgICAgIDwvUGVyc29uPg0KICAgICAgICAgIDxQZXJzb24+DQogICAgICAgICAgICA8Rmlyc3ROYW1lPk1hcjwvRmlyc3ROYW1lPg0KICAgICAgICAgICAgPExhc3ROYW1lPkxhcnJvc2E8L0xhc3ROYW1lPg0KICAgICAgICAgIDwvUGVyc29uPg0KICAgICAgICAgIDxQZXJzb24+DQogICAgICAgICAgICA8Rmlyc3ROYW1lPk1hcmlhPC9GaXJzdE5hbWU+DQogICAgICAgICAgICA8TGFzdE5hbWU+WWFuZXotR2FzY29uPC9MYXN0TmFtZT4NCiAgICAgICAgICAgIDxNaWRkbGVOYW1lPkouPC9NaWRkbGVOYW1lPg0KICAgICAgICAgICAgPFNleD5GZW1hbGU8L1NleD4NCiAgICAgICAgICA8L1BlcnNvbj4NCiAgICAgICAgICA8UGVyc29uPg0KICAgICAgICAgICAgPEZpcnN0TmFtZT5FbWlsaWU8L0ZpcnN0TmFtZT4NCiAgICAgICAgICAgIDxMYXN0TmFtZT5Gcm9tZW50aW48L0xhc3ROYW1lPg0KICAgICAgICAgICAgPFNleD5GZW1hbGU8L1NleD4NCiAgICAgICAgICA8L1BlcnNvbj4NCiAgICAgICAgICA8UGVyc29uPg0KICAgICAgICAgICAgPEZpcnN0TmFtZT5Kb2huPC9GaXJzdE5hbWU+DQogICAgICAgICAgICA8TGFzdE5hbWU+RmxhbmFnYW48L0xhc3ROYW1lPg0KICAgICAgICAgICAgPFNleD5NYWxlPC9TZXg+DQogICAgICAgICAgPC9QZXJzb24+DQogICAgICAgICAgPFBlcnNvbj4NCiAgICAgICAgICAgIDxGaXJzdE5hbWU+TWFyYzwvRmlyc3ROYW1lPg0KICAgICAgICAgICAgPExhc3ROYW1lPlJvbGxlcjwvTGFzdE5hbWU+DQogICAgICAgICAgICA8U2V4Pk1hbGU8L1NleD4NCiAgICAgICAgICA8L1BlcnNvbj4NCiAgICAgICAgICA8UGVyc29uPg0KICAgICAgICAgICAgPEZpcnN0TmFtZT5GcmFuY2lzY288L0ZpcnN0TmFtZT4NCiAgICAgICAgICAgIDxMYXN0TmFtZT5Ub21hcy1CYXJiZXJhbjwvTGFzdE5hbWU+DQogICAgICAgICAgICA8TWlkZGxlTmFtZT5BLjwvTWlkZGxlTmFtZT4NCiAgICAgICAgICAgIDxTZXg+TWFsZTwvU2V4Pg0KICAgICAgICAgIDwvUGVyc29uPg0KICAgICAgICAgIDxQZXJzb24+DQogICAgICAgICAgICA8Rmlyc3ROYW1lPkp1YW48L0ZpcnN0TmFtZT4NCiAgICAgICAgICAgIDxMYXN0TmFtZT5Fc3BpbjwvTGFzdE5hbWU+DQogICAgICAgICAgICA8TWlkZGxlTmFtZT5DLjwvTWlkZGxlTmFtZT4NCiAgICAgICAgICAgIDxTZXg+TWFsZTwvU2V4Pg0KICAgICAgICAgIDwvUGVyc29uPg0KICAgICAgICAgIDxQZXJzb24+DQogICAgICAgICAgICA8Rmlyc3ROYW1lPk1hcmlhLVRlcmVzYTwvRmlyc3ROYW1lPg0KICAgICAgICAgICAgPExhc3ROYW1lPkdhcmNpYS1Db25lc2E8L0xhc3ROYW1lPg0KICAgICAgICAgIDwvUGVyc29uPg0KICAgICAgICA8L0F1dGhvcnM+DQogICAgICAgIDxEb2k+MTAuMTAwMi9tbmZyLjIwMTMwMDA1MjwvRG9pPg0KICAgICAgICA8SWQ+NDYyYjRhYWYtMGZhNS00ZGMwLTljZjEtOTgzMmQxMzA4YzBmPC9JZD4NCiAgICAgICAgPExhbmd1YWdlPmVuZzwvTGFuZ3VhZ2U+DQogICAgICAgIDxMYW5ndWFnZUNvZGU+ZW48L0xhbmd1YWdlQ29kZT4NCiAgICAgICAgPExvY2F0aW9ucz4NCiAgICAgICAgICA8TG9jYXRpb24+DQogICAgICAgICAgICA8QWRkcmVzcz4yMzYyNTY4MTwvQWRkcmVzcz4NCiAgICAgICAgICAgIDxMb2NhdGlvblR5cGU+RWxlY3Ryb25pY0FkZHJlc3M8L0xvY2F0aW9uVHlwZT4NCiAgICAgICAgICA8L0xvY2F0aW9uPg0KICAgICAgICAgIDxMb2NhdGlvbj4NCiAgICAgICAgICAgIDxBZGRyZXNzPjEwLjEwMDIvbW5mci4yMDEzMDAwNTI8L0FkZHJlc3M+DQogICAgICAgICAgICA8TG9jYXRpb25UeXBlPkVsZWN0cm9uaWNBZGRyZXNzPC9Mb2NhdGlvblR5cGU+DQogICAgICAgICAgPC9Mb2NhdGlvbj4NCiAgICAgICAgPC9Mb2NhdGlvbnM+DQogICAgICAgIDxOb3Rlcz5Kb3VybmFsIEFydGljbGUNClJlc2VhcmNoIFN1cHBvcnQsIE5vbi1VLlMuIEdvdid0PC9Ob3Rlcz4NCiAgICAgICAgPE51bWJlcj4xMDwvTnVtYmVyPg0KICAgICAgICA8UGFnZVJhbmdlPjwhW0NEQVRBWzxzcD4NCiAgPG4+MTgzNDwvbj4NCiAgPGluPnRydWU8L2luPg0KICA8b3M+MTgzNDwvb3M+DQogIDxwcz4xODM0PC9wcz4NCjwvc3A+DQo8ZXA+DQogIDxuPjE4NDY8L24+DQogIDxpbj50cnVlPC9pbj4NCiAgPG9zPjE4NDY8L29zPg0KICA8cHM+MTg0NjwvcHM+DQo8L2VwPg0KPG9zPjE4MzTigJMxODQ2PC9vcz5dXT48L1BhZ2VSYW5nZT4NCiAgICAgICAgPEVuZFBhZ2U+MTg0NjwvRW5kUGFnZT4NCiAgICAgICAgPFN0YXJ0UGFnZT4xODM0PC9TdGFydFBhZ2U+DQogICAgICAgIDxQZXJpb2RpY2FsPg0KICAgICAgICAgIDxJc3NuPjE2MTMtNDEyNTwvSXNzbj4NCiAgICAgICAgICA8TmFtZT5Nb2xlY3VsYXIgTnV0cml0aW9uICZhbXA7IEZvb2QgUmVzZWFyY2g8L05hbWU+DQogICAgICAgICAgPFN0YW5kYXJkQWJicmV2aWF0aW9uPk1vbC4gTnV0ci4gRm9vZCBSZXMuPC9TdGFuZGFyZEFiYnJldmlhdGlvbj4NCiAgICAgICAgPC9QZXJpb2RpY2FsPg0KICAgICAgICA8UHViTWVkSWQ+MjM2MjU2ODE8L1B1Yk1lZElkPg0KICAgICAgICA8U2hvcnRUaXRsZT5Sb21vIFZhcXVlcm8sIEdhcmNpYSBWaWxsYWxiYSBldCBhbC4gMjAxMyDigJMgQmlvYXZhaWxhYmlsaXR5IG9mIHRoZSBtYWpvciBiaW9hY3RpdmU8L1Nob3J0VGl0bGU+DQogICAgICAgIDxTb3VyY2VPZkJpYmxpb2dyYXBoaWNJbmZvcm1hdGlvbj5QdWJNZWQgKE1FRExJTkUpPC9Tb3VyY2VPZkJpYmxpb2dyYXBoaWNJbmZvcm1hdGlvbj4NCiAgICAgICAgPFN1YnRpdGxlPk1ldGFib2xpYyBwcm9maWxlIGluIHRoZSBpbnRlc3RpbmUsIGxpdmVyLCBwbGFzbWEsIGFuZCBicmFpbiBvZiBadWNrZXIgcmF0czwvU3VidGl0bGU+DQogICAgICAgIDxUaXRsZT5CaW9hdmFpbGFiaWxpdHkgb2YgdGhlIG1ham9yIGJpb2FjdGl2ZSBkaXRlcnBlbm9pZHMgaW4gYSByb3NlbWFyeSBleHRyYWN0PC9UaXRsZT4NCiAgICAgICAgPFZvbHVtZT41NzwvVm9sdW1lPg0KICAgICAgICA8WWVhcj4yMDEzPC9ZZWFyPg0KICAgICAgPC9SZWZlcmVuY2U+DQogICAgPC9FbnRyeT4NCiAgPC9FbnRyaWVzPg0KICA8VGV4dD4oUm9tbyBWYXF1ZXJvIGV0IGFsLi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9tbyBWYXF1ZXJvIGV0IGFsLiAyMDEzKTwvVGV4dD4NCiAgICA8L1RleHRVbml0Pg0KICA8L1RleHRVbml0cz4NCjwvUGxhY2Vob2xkZXI+</w:instrText>
      </w:r>
      <w:r w:rsidR="004123D1">
        <w:fldChar w:fldCharType="separate"/>
      </w:r>
      <w:bookmarkStart w:id="96" w:name="_CTVP0013ecf8312ba654090bd12516af9f41cc4"/>
      <w:r w:rsidR="002F200C">
        <w:t>(Romo Vaquero et al. 2013)</w:t>
      </w:r>
      <w:bookmarkEnd w:id="96"/>
      <w:r w:rsidR="004123D1">
        <w:fldChar w:fldCharType="end"/>
      </w:r>
      <w:r w:rsidR="00D03F63" w:rsidRPr="00D03F63">
        <w:t xml:space="preserve"> but may undergo enterohepatic cycling (Wang </w:t>
      </w:r>
      <w:r w:rsidR="00D03F63" w:rsidRPr="00D03F63">
        <w:rPr>
          <w:i/>
        </w:rPr>
        <w:t>et al</w:t>
      </w:r>
      <w:r w:rsidR="00D03F63" w:rsidRPr="00D03F63">
        <w:t xml:space="preserve">. 2017). Metabolites are found in both urine and faeces (Song </w:t>
      </w:r>
      <w:r w:rsidR="00D03F63" w:rsidRPr="00D03F63">
        <w:rPr>
          <w:i/>
        </w:rPr>
        <w:t>et al.</w:t>
      </w:r>
      <w:r w:rsidR="00D03F63" w:rsidRPr="00D03F63">
        <w:t xml:space="preserve"> 2014).</w:t>
      </w:r>
    </w:p>
    <w:p w14:paraId="6A3EE97F" w14:textId="77777777" w:rsidR="009E7F57" w:rsidRPr="00D03F63" w:rsidRDefault="009E7F57" w:rsidP="00D03F63"/>
    <w:p w14:paraId="0A90AA45" w14:textId="009A175F" w:rsidR="00D03F63" w:rsidRDefault="00D03F63" w:rsidP="00D03F63">
      <w:r w:rsidRPr="00D03F63">
        <w:t xml:space="preserve">There is relatively little information on components of rosemary extract other than carnosic acid. Following a single oral administration of rosemary extract to rats, Wang </w:t>
      </w:r>
      <w:r w:rsidRPr="00D03F63">
        <w:rPr>
          <w:i/>
        </w:rPr>
        <w:t>et al.</w:t>
      </w:r>
      <w:r w:rsidRPr="00D03F63">
        <w:t xml:space="preserve"> (2017) reported a T</w:t>
      </w:r>
      <w:r w:rsidRPr="00D03F63">
        <w:rPr>
          <w:vertAlign w:val="subscript"/>
        </w:rPr>
        <w:t>max</w:t>
      </w:r>
      <w:r w:rsidRPr="00D03F63">
        <w:t xml:space="preserve"> of 0.25 to 0.55 h and t</w:t>
      </w:r>
      <w:r w:rsidRPr="00D03F63">
        <w:rPr>
          <w:vertAlign w:val="subscript"/>
        </w:rPr>
        <w:t xml:space="preserve">1/2  </w:t>
      </w:r>
      <w:r w:rsidRPr="00D03F63">
        <w:t>8.88 to 15.4 h for rosmanol, and for carnosol a T</w:t>
      </w:r>
      <w:r w:rsidRPr="00D03F63">
        <w:rPr>
          <w:vertAlign w:val="subscript"/>
        </w:rPr>
        <w:t>max</w:t>
      </w:r>
      <w:r w:rsidRPr="00D03F63">
        <w:t xml:space="preserve"> of 0.27-0.7 h, and t</w:t>
      </w:r>
      <w:r w:rsidRPr="00D03F63">
        <w:rPr>
          <w:vertAlign w:val="subscript"/>
        </w:rPr>
        <w:t xml:space="preserve">1/2 </w:t>
      </w:r>
      <w:r w:rsidRPr="00D03F63">
        <w:t xml:space="preserve"> of 12.3-12.8 h. On the other hand, Romo Vaquero </w:t>
      </w:r>
      <w:r w:rsidRPr="00D03F63">
        <w:rPr>
          <w:i/>
        </w:rPr>
        <w:t>et al.</w:t>
      </w:r>
      <w:r w:rsidRPr="00D03F63">
        <w:t xml:space="preserve"> (2013) </w:t>
      </w:r>
      <w:r w:rsidRPr="00D03F63">
        <w:lastRenderedPageBreak/>
        <w:t>reported that the T</w:t>
      </w:r>
      <w:r w:rsidRPr="00D03F63">
        <w:rPr>
          <w:vertAlign w:val="subscript"/>
        </w:rPr>
        <w:t>max</w:t>
      </w:r>
      <w:r w:rsidRPr="00D03F63">
        <w:t xml:space="preserve"> for carnosol was 13.3 h and the MRT</w:t>
      </w:r>
      <w:r w:rsidRPr="00D03F63">
        <w:rPr>
          <w:vertAlign w:val="subscript"/>
        </w:rPr>
        <w:t>last</w:t>
      </w:r>
      <w:r w:rsidRPr="00D03F63">
        <w:t xml:space="preserve"> was 8.5 h. Wang </w:t>
      </w:r>
      <w:r w:rsidRPr="00D03F63">
        <w:rPr>
          <w:i/>
        </w:rPr>
        <w:t>et al.</w:t>
      </w:r>
      <w:r w:rsidRPr="00D03F63">
        <w:t xml:space="preserve"> (2017) provided graphs indicating gradual decline of carnosol over 24 hours with a slight rise at 12 hours, whereas Romo Vaquero </w:t>
      </w:r>
      <w:r w:rsidRPr="00D03F63">
        <w:rPr>
          <w:i/>
        </w:rPr>
        <w:t>et al.</w:t>
      </w:r>
      <w:r w:rsidRPr="00D03F63">
        <w:t xml:space="preserve"> (2013) reported that carnosol increased over the 13.3 hours of their acute TK study. The reason for these discrepancies </w:t>
      </w:r>
      <w:r w:rsidR="000D1391">
        <w:t xml:space="preserve">between studies </w:t>
      </w:r>
      <w:r w:rsidRPr="00D03F63">
        <w:t xml:space="preserve">is not clear. Wang </w:t>
      </w:r>
      <w:r w:rsidRPr="00D03F63">
        <w:rPr>
          <w:i/>
        </w:rPr>
        <w:t>et al</w:t>
      </w:r>
      <w:r w:rsidRPr="00D03F63">
        <w:t xml:space="preserve">. (2017) did not specify their rat strain or the vehicle for administration, either or both of which may have been different to those used by Romo Vaquero </w:t>
      </w:r>
      <w:r w:rsidRPr="00D03F63">
        <w:rPr>
          <w:i/>
        </w:rPr>
        <w:t>et al</w:t>
      </w:r>
      <w:r w:rsidRPr="00D03F63">
        <w:t xml:space="preserve">. (2013), and the analytical methods were different. </w:t>
      </w:r>
    </w:p>
    <w:p w14:paraId="6AE0D994" w14:textId="77777777" w:rsidR="009E7F57" w:rsidRPr="00D03F63" w:rsidRDefault="009E7F57" w:rsidP="00D03F63"/>
    <w:p w14:paraId="4F07EBAA" w14:textId="3C002F46" w:rsidR="00D03F63" w:rsidRDefault="00D03F63" w:rsidP="00D03F63">
      <w:r w:rsidRPr="00D03F63">
        <w:t xml:space="preserve">The feeding of rosemary extract to lambs has been shown to lead to the deposition of rosemary diterpenes and metabolites, including carnosic acid, carnosol, rosmanol, carnosol </w:t>
      </w:r>
      <w:r w:rsidRPr="00D03F63">
        <w:rPr>
          <w:i/>
        </w:rPr>
        <w:t>p</w:t>
      </w:r>
      <w:r w:rsidRPr="00D03F63">
        <w:t xml:space="preserve">-quinone, and a metabolite identified as 5,6-dihydroxy-7-isopropyl-1,1-dimethyl-2,3-dihydrophenanthren-9(1H)-one, in their muscles (Jordán </w:t>
      </w:r>
      <w:r w:rsidRPr="00D03F63">
        <w:rPr>
          <w:i/>
        </w:rPr>
        <w:t>et al.</w:t>
      </w:r>
      <w:r w:rsidRPr="00D03F63">
        <w:t xml:space="preserve"> 2014). Persistence of compounds from rosemary in the muscles of lambs following supplementation of their dams during pregnancy and lactation was investigated by Moñino </w:t>
      </w:r>
      <w:r w:rsidRPr="00D03F63">
        <w:rPr>
          <w:i/>
        </w:rPr>
        <w:t>et al.</w:t>
      </w:r>
      <w:r w:rsidRPr="00D03F63">
        <w:t xml:space="preserve"> (2008). The dams were supplemented with steam-distilled rosemary leaves at 10 or 20% by weight of the control diet for 240 days, coinciding with gestation and lactation periods. Lambs were weaned at a bodyweight of 13 ± 1 kg and were not exposed to rosemary from weaning to slaughter, which was done when they reached 25 ± 2 kg bw. Levels of carnosic acid, carnosol and rosmarinic acid were elevated in the meat of lambs from treated ewes, when compared to meat from the lambs of control ewes. However the levels of these compounds in the meat of lambs born to ewes in the 20% group were not significantly higher than in the meat of lambs born to ewes in the 10% group, which suggests that muscle as a storage compartment is </w:t>
      </w:r>
      <w:r w:rsidR="00C96081">
        <w:t xml:space="preserve">readily </w:t>
      </w:r>
      <w:r w:rsidRPr="00D03F63">
        <w:t xml:space="preserve">saturable. The time between weaning and slaughter was not stated by Moñino </w:t>
      </w:r>
      <w:r w:rsidRPr="00D03F63">
        <w:rPr>
          <w:i/>
        </w:rPr>
        <w:t>et al.</w:t>
      </w:r>
      <w:r w:rsidRPr="00D03F63">
        <w:t xml:space="preserve"> (2008), although in a related study with the same breed of sheep, in the same province of Spain, Ortuña </w:t>
      </w:r>
      <w:r w:rsidRPr="00D03F63">
        <w:rPr>
          <w:i/>
        </w:rPr>
        <w:t>et al</w:t>
      </w:r>
      <w:r w:rsidRPr="00D03F63">
        <w:t xml:space="preserve">. (2017) reported that the time from weaning to slaughter was 50 ± 8 days. It may be surmised that the study of Moñino </w:t>
      </w:r>
      <w:r w:rsidRPr="00D03F63">
        <w:rPr>
          <w:i/>
        </w:rPr>
        <w:t>et al.</w:t>
      </w:r>
      <w:r w:rsidRPr="00D03F63">
        <w:t xml:space="preserve"> (2008) demonstrates prolonged storage in muscle of carnosic acid, carnosol and rosmarinic acid. However it is not possible from the study design to determine whether the compounds from rosemary extract crossed the placentas </w:t>
      </w:r>
      <w:r w:rsidR="000D1391">
        <w:t>during pregnancy</w:t>
      </w:r>
      <w:r w:rsidRPr="00D03F63">
        <w:t xml:space="preserve"> or were transferred to the lambs via milk. Compounds from rosemary extract are transferred into the milk of (Boutoial </w:t>
      </w:r>
      <w:r w:rsidRPr="00D03F63">
        <w:rPr>
          <w:i/>
        </w:rPr>
        <w:t>et al</w:t>
      </w:r>
      <w:r w:rsidRPr="00D03F63">
        <w:t xml:space="preserve">. 2013, 2017) and alterations in the properties of milk of ewes fed rosemary leaves (Branciari </w:t>
      </w:r>
      <w:r w:rsidRPr="00D03F63">
        <w:rPr>
          <w:i/>
        </w:rPr>
        <w:t>et al</w:t>
      </w:r>
      <w:r w:rsidRPr="00D03F63">
        <w:t xml:space="preserve">. 2015) or rosemary extract (Chiofalo </w:t>
      </w:r>
      <w:r w:rsidRPr="00D03F63">
        <w:rPr>
          <w:i/>
        </w:rPr>
        <w:t>et al.</w:t>
      </w:r>
      <w:r w:rsidRPr="00D03F63">
        <w:t xml:space="preserve"> 2010) are consistent with compounds from rosemary also being transferred into the milk of ewes. </w:t>
      </w:r>
    </w:p>
    <w:p w14:paraId="2CA53420" w14:textId="77777777" w:rsidR="00C96081" w:rsidRPr="00D03F63" w:rsidRDefault="00C96081" w:rsidP="00D03F63">
      <w:pPr>
        <w:rPr>
          <w:color w:val="808080" w:themeColor="background1" w:themeShade="80"/>
        </w:rPr>
      </w:pPr>
    </w:p>
    <w:p w14:paraId="7DE8BDFC" w14:textId="77777777" w:rsidR="00D03F63" w:rsidRPr="00D03F63" w:rsidRDefault="00D03F63" w:rsidP="00D03F63">
      <w:r w:rsidRPr="00D03F63">
        <w:t xml:space="preserve">Exposure to rosemary extract has been found to result in upregulation of some metabolic enzymes. This was first demonstrated by Singletary in 1996, who reported that dietary exposure of female Sprague Dawley rats to rosemary extract at  0.25, 0.5 or 1% w/w for 21 days resulted in significant increases in hepatic levels of glutathione-S-transferase (GST) and NADPH-quinone reductase (QR) in all groups, when compared to untreated controls, although there was not a clear dose-response relationship. However feeding purified carnosol for two weeks did not alter enzyme expression. Similarly, dietary exposure to rosemary extract at 0.3 and 0.6% w/w to mice for 4 weeks resulted in a significant increase in group mean QR expression in both groups, relative to untreated controls, and a significant increase in group mean GST expression in the mice fed the higher dose of 0.6% rosemary extract when compared to untreated controls. Expression of GST, but not QR, was also increased in the stomach of mice fed 0.6% rosemary extract, compared to untreated controls (Singletary and Rokusek, 1997). JECFA (2017) cited an unpublished study report of a 13-week dietary study of rosemary extract in female Sprague Dawley rats. Rosemary extract containing 33% w/w of carnosic acid + carnosol was added to rat chow to achieve an exposure equivalent to 64 mg/kg bw/day of carnosic acid and carnosol combined. As part of this study, total hepatic microsomal cytochrome P450 activity, as well as activities of selected enzymes including CYP1A, CYP2B, CYP2C11, CYP2E, CYP3A and CYP4A were measured in cohorts of rats after 4 weeks of dietary exposure, after 13 weeks of treatment and at the end of a 4-week recovery period after the end of dietary exposure. After 13 weeks of treatment, total hepatic microsomal cytochrome P450 activity was increase 1.5-fold over that </w:t>
      </w:r>
      <w:r w:rsidRPr="00D03F63">
        <w:lastRenderedPageBreak/>
        <w:t xml:space="preserve">in control animals. Increases occurred in CRP2A, CYP2C11, CYP2E1 and CPY4A, but not in CYP1A, CYP2B or CYP3A. These increases were reversible, in that expression of all enzymes after four weeks of recovery was the same as that in control animals (Covance Laboratories Ltd, as cited by JECFA 2017). </w:t>
      </w:r>
    </w:p>
    <w:p w14:paraId="64CD5598" w14:textId="0C72B861" w:rsidR="00D03F63" w:rsidRPr="00D03F63" w:rsidRDefault="0055434B" w:rsidP="005137FA">
      <w:pPr>
        <w:pStyle w:val="Heading3"/>
      </w:pPr>
      <w:bookmarkStart w:id="97" w:name="_Toc517709882"/>
      <w:bookmarkStart w:id="98" w:name="_Toc518388282"/>
      <w:bookmarkStart w:id="99" w:name="_Toc526498371"/>
      <w:r>
        <w:t>3.2.2</w:t>
      </w:r>
      <w:r>
        <w:tab/>
      </w:r>
      <w:r w:rsidR="00D03F63" w:rsidRPr="00D03F63">
        <w:t>Short term studies in animals</w:t>
      </w:r>
      <w:bookmarkEnd w:id="97"/>
      <w:bookmarkEnd w:id="98"/>
      <w:bookmarkEnd w:id="99"/>
    </w:p>
    <w:p w14:paraId="34599B89" w14:textId="77777777" w:rsidR="00D03F63" w:rsidRPr="00D03F63" w:rsidRDefault="00D03F63" w:rsidP="00D03F63">
      <w:pPr>
        <w:rPr>
          <w:i/>
        </w:rPr>
      </w:pPr>
      <w:r w:rsidRPr="00D03F63">
        <w:rPr>
          <w:i/>
        </w:rPr>
        <w:t xml:space="preserve">Acute toxicity study of carnosic acid in the mouse (Wang </w:t>
      </w:r>
      <w:r w:rsidRPr="00D03F63">
        <w:t>et al.</w:t>
      </w:r>
      <w:r w:rsidRPr="00D03F63">
        <w:rPr>
          <w:i/>
        </w:rPr>
        <w:t xml:space="preserve"> 2012) Regulatory status: Non-GLP</w:t>
      </w:r>
    </w:p>
    <w:p w14:paraId="4D57131B" w14:textId="77777777" w:rsidR="005E04B6" w:rsidRDefault="005E04B6" w:rsidP="00D03F63"/>
    <w:p w14:paraId="6CB09F26" w14:textId="5CD04582" w:rsidR="00D03F63" w:rsidRPr="00D03F63" w:rsidRDefault="00D03F63" w:rsidP="00D03F63">
      <w:r w:rsidRPr="00D03F63">
        <w:t xml:space="preserve">Kunming mice, 5/sex/group, were maintained under normal laboratory husbandry conditions with </w:t>
      </w:r>
      <w:r w:rsidRPr="00D03F63">
        <w:rPr>
          <w:i/>
        </w:rPr>
        <w:t>ad libitum</w:t>
      </w:r>
      <w:r w:rsidRPr="00D03F63">
        <w:t xml:space="preserve"> access to water. Mean bodyweights on the day of dosing were 18-22.5 g for females and 18.0 to 25.5 g for males. They were fasted for 24 hours before gavage administration of carnosic acid, 97% pure, in olive oil at a dose volume of 0.2 mL/10 g bw. Dosages were 0, 3500, 4500, 5500, 7500 or 8500 mg/kg bw. After dosing, mice were provided with </w:t>
      </w:r>
      <w:r w:rsidRPr="00D03F63">
        <w:rPr>
          <w:i/>
        </w:rPr>
        <w:t>ad libitum</w:t>
      </w:r>
      <w:r w:rsidRPr="00D03F63">
        <w:t xml:space="preserve"> access to food and were subject to cageside examination 3-6 h after dosing and twice daily thereafter until scheduled termination on Day 15. Bodyweight and food consumption were measured daily. On Day 15, mice were killed by cervical dislocation and exsanguinated. Heart, intestines, kidney, liver, lungs and stomach were subject to gross examination. The median lethal dose (LD</w:t>
      </w:r>
      <w:r w:rsidRPr="00D03F63">
        <w:rPr>
          <w:vertAlign w:val="subscript"/>
        </w:rPr>
        <w:t>50</w:t>
      </w:r>
      <w:r w:rsidRPr="00D03F63">
        <w:t>)</w:t>
      </w:r>
      <w:r w:rsidR="005E04B6">
        <w:t xml:space="preserve"> </w:t>
      </w:r>
      <w:r w:rsidRPr="00D03F63">
        <w:t xml:space="preserve">was estimated by probit regression model. </w:t>
      </w:r>
    </w:p>
    <w:p w14:paraId="4ED6607A" w14:textId="77777777" w:rsidR="00D03F63" w:rsidRDefault="00D03F63" w:rsidP="00D03F63">
      <w:r w:rsidRPr="00D03F63">
        <w:t>Clinical signs observed on the day of dosing included shivering, anorexia and diarrhoea. Mortalities increased with dose, although the paper does not indicate on which day or days the mice died, or the sex of the mice that died. All mice in the control group and the group dosed with 3500 mg/kg bw survived to Day 15. Three mice died in each of the groups dosed with 4500 and 5500 mg/kg bw. Five mice died in the 7500 mg/kg bw group, and 7 mice died in the 8500 mg/kg bw group. The LD</w:t>
      </w:r>
      <w:r w:rsidRPr="00D03F63">
        <w:rPr>
          <w:vertAlign w:val="subscript"/>
        </w:rPr>
        <w:t>50</w:t>
      </w:r>
      <w:r w:rsidRPr="00D03F63">
        <w:t xml:space="preserve"> was calculated to be 7100 mg/kg bw (95% CI, 6060-8940 mg/kg). Microscopic lesions of lymphoid cell infiltration were found in the kidneys of mice dosed with ≥ 7500 mg/kg bw. The authors also stated that all treated mice exhibited slight hydropic degeneration and single cell foci of necrosis in the liver, and myocardial fibrosis and inflammatory cell infiltration in the heart, but the photomicrographs included in the paper are not convincing. </w:t>
      </w:r>
    </w:p>
    <w:p w14:paraId="114002E9" w14:textId="77777777" w:rsidR="009E7F57" w:rsidRPr="00D03F63" w:rsidRDefault="009E7F57" w:rsidP="00D03F63"/>
    <w:p w14:paraId="5FBC6F46" w14:textId="77777777" w:rsidR="00D03F63" w:rsidRPr="00D03F63" w:rsidRDefault="00D03F63" w:rsidP="00D03F63">
      <w:pPr>
        <w:rPr>
          <w:i/>
        </w:rPr>
      </w:pPr>
      <w:r w:rsidRPr="00D03F63">
        <w:rPr>
          <w:i/>
        </w:rPr>
        <w:t xml:space="preserve">Acute toxicity study of rosemary extract in rats (Anadón </w:t>
      </w:r>
      <w:r w:rsidRPr="00D03F63">
        <w:t>et al.</w:t>
      </w:r>
      <w:r w:rsidRPr="00D03F63">
        <w:rPr>
          <w:i/>
        </w:rPr>
        <w:t xml:space="preserve"> 2008). Regulatory status: Non-GLP</w:t>
      </w:r>
    </w:p>
    <w:p w14:paraId="5B05A6F8" w14:textId="77777777" w:rsidR="009E7F57" w:rsidRDefault="00D03F63" w:rsidP="00D03F63">
      <w:r w:rsidRPr="00D03F63">
        <w:t xml:space="preserve">Two separate rosemary extracts were used for this study, one prepared from leaves collected in spring and the other prepared from leaves collected in autumn. Leaves were dried and stored frozen until the extracts were prepared by supercritical fluid extraction with ethanol as a modifier. The extracts were subject to analysis for diterpene content by HPLC, and were also subject to assay of antioxidant activity. The test subjects were male and female Wistar rats, approximately 8 weeks of age. They were individually housed under standard laboratory environmental conditions. Food and water were provided </w:t>
      </w:r>
      <w:r w:rsidRPr="00D03F63">
        <w:rPr>
          <w:i/>
        </w:rPr>
        <w:t>ad libitum</w:t>
      </w:r>
      <w:r w:rsidRPr="00D03F63">
        <w:t>, with the exception of the night before dosing, and for 18 hours prior to blood collection on the day of necropsy, when rats were fasted. Rats were assigned to three groups of 6/sex/group. The control group was dosed with corn oil by oral gavage, while the other two groups were dosed with one or other of the rosemary extracts at a dosage of 2,000 mg/kg bw dissolved in corn oil at a concentration of 200 mg/mL. Rats were observed twice daily for mortality and clinical signs, and were subject to a detailed physical examination prior to dosing and daily through to Day 15. Body weight, food consumption and water consumption were measured daily. On Day 15,  blood was collected from the retroorbital plexus of fasted rats before they were weighed, killed by CO</w:t>
      </w:r>
      <w:r w:rsidRPr="00D03F63">
        <w:rPr>
          <w:vertAlign w:val="subscript"/>
        </w:rPr>
        <w:t>2</w:t>
      </w:r>
      <w:r w:rsidRPr="00D03F63">
        <w:t xml:space="preserve"> inhalation, exsanguinated and subject to gross necropsy. Tissues fixed for histopathology were adrenal glands, brain, heart, ileum, jejunum, caecum, colon, duodenum, kidneys, liver, lungs, pancreas, spleen, stomach, tested, thymus, thyroid and parathyroid glands. The method states that organ:bodyweight ratios were calculated, but does not indicate which organs were weighed. </w:t>
      </w:r>
    </w:p>
    <w:p w14:paraId="02E3706F" w14:textId="77777777" w:rsidR="00D03F63" w:rsidRPr="00D03F63" w:rsidRDefault="00D03F63" w:rsidP="00D03F63">
      <w:r w:rsidRPr="00D03F63">
        <w:t xml:space="preserve"> </w:t>
      </w:r>
    </w:p>
    <w:p w14:paraId="6A5CFADC" w14:textId="77777777" w:rsidR="00D03F63" w:rsidRPr="00D03F63" w:rsidRDefault="00D03F63" w:rsidP="00D03F63">
      <w:r w:rsidRPr="00D03F63">
        <w:lastRenderedPageBreak/>
        <w:t xml:space="preserve">Analysis showed that the total concentration of phenolic components in the extract from leaves collected in spring was approximately twice as high as the concentration in the extract from leaves collected in autumn, and the antioxidant activity was correspondingly higher in the extract from leaves collected in spring. </w:t>
      </w:r>
    </w:p>
    <w:p w14:paraId="4BE0C30D" w14:textId="77777777" w:rsidR="00926C64" w:rsidRPr="00D03F63" w:rsidRDefault="00926C64" w:rsidP="00D03F63"/>
    <w:p w14:paraId="0C10AE08" w14:textId="77777777" w:rsidR="00D03F63" w:rsidRDefault="00D03F63" w:rsidP="00D03F63">
      <w:r w:rsidRPr="00D03F63">
        <w:t xml:space="preserve">All rats survived the two-week observation period and there were no treatment-related effects on clinical observations, bodyweights or bodyweight changes, food consumption, water consumption, haematological parameters, clinical chemistry parameters, gross findings, organ weights, organ:body weight ratios, or microscopic findings. It was concluded that 2000 mg/kg bw rosemary extract had no adverse effects on male or female Wistar rats. </w:t>
      </w:r>
    </w:p>
    <w:p w14:paraId="76F126CB" w14:textId="77777777" w:rsidR="009E7F57" w:rsidRPr="00D03F63" w:rsidRDefault="009E7F57" w:rsidP="00D03F63"/>
    <w:p w14:paraId="1C6A3B4D" w14:textId="77777777" w:rsidR="00D03F63" w:rsidRPr="00D03F63" w:rsidRDefault="00D03F63" w:rsidP="00D03F63">
      <w:pPr>
        <w:rPr>
          <w:i/>
        </w:rPr>
      </w:pPr>
      <w:r w:rsidRPr="00D03F63">
        <w:rPr>
          <w:i/>
        </w:rPr>
        <w:t xml:space="preserve">Thirty-day oral gavage study of carnosic acid in Wistar rats (Wang </w:t>
      </w:r>
      <w:r w:rsidRPr="00D03F63">
        <w:t>et al</w:t>
      </w:r>
      <w:r w:rsidRPr="00D03F63">
        <w:rPr>
          <w:i/>
        </w:rPr>
        <w:t>. 2012). Regulatory status: Non-GLP</w:t>
      </w:r>
    </w:p>
    <w:p w14:paraId="46AC0494" w14:textId="77777777" w:rsidR="005E04B6" w:rsidRDefault="005E04B6" w:rsidP="00D03F63"/>
    <w:p w14:paraId="3271AEB3" w14:textId="0EF0CAC9" w:rsidR="00D03F63" w:rsidRDefault="00D03F63" w:rsidP="00D03F63">
      <w:r w:rsidRPr="00D03F63">
        <w:t xml:space="preserve">Carnosic acid, 97% pure, was the test article for this study, and it was administered suspended in olive oil. The test subjects were Wistar rats, 10/sex/group. Rats were housed under standard laboratory environmental conditions, although the paper does not state whether they were group-housed or individually housed. Food and water were supplied </w:t>
      </w:r>
      <w:r w:rsidRPr="00D03F63">
        <w:rPr>
          <w:i/>
        </w:rPr>
        <w:t>ad libitum</w:t>
      </w:r>
      <w:r w:rsidRPr="00D03F63">
        <w:t>. After 12 days of acclimatization, when they were 8 to 9 weeks old, rats were assigned to four groups. Rats were dosed once daily by oral gavage with 0, 150, 300, or 600 mg/kg bw/day carnosic acid, at a dose volume of 5 mL/kg bw. Clinical observations and bodyweight were recorded daily. Food consumption was measured during the in-life phase but the frequency of measurement is not clear. On day 31 or 32, rats were anaesthetized with CO</w:t>
      </w:r>
      <w:r w:rsidRPr="00D03F63">
        <w:rPr>
          <w:vertAlign w:val="subscript"/>
        </w:rPr>
        <w:t xml:space="preserve">2 </w:t>
      </w:r>
      <w:r w:rsidRPr="00D03F63">
        <w:t>and blood was collected for routine haematology and clinical chemistry, as well as measurement of thyroid hormones, testosterone and estradiol. Rats were then killed by exsanguination. A complete gross necropsy was conducted and fresh weights were recorded for liver, kidney, spleen, brain, thyroid, thymus, heart, ovary and testis. Motility of spermatozoa from the left epididymis of each male was assessed. A comprehensive list of tissues and organs was preserved in neutral buffered formalin. Sections of brain, heart, kidney, liver, lung, spleen, thyroid gland, prostate and testis from males, and uterus and ovary from females, were processed for microscopic examination</w:t>
      </w:r>
      <w:r w:rsidR="00495378">
        <w:t xml:space="preserve">. </w:t>
      </w:r>
    </w:p>
    <w:p w14:paraId="4E47C592" w14:textId="77777777" w:rsidR="009E7F57" w:rsidRPr="00D03F63" w:rsidRDefault="009E7F57" w:rsidP="00D03F63"/>
    <w:p w14:paraId="327342E3" w14:textId="268324C3" w:rsidR="00D03F63" w:rsidRDefault="00D03F63" w:rsidP="00D03F63">
      <w:r w:rsidRPr="00D03F63">
        <w:t>All rats survived to the end of the study. Mild diarrhoea was reported in one male and two females in the 300 mg/kg bw/day group, and in two males and three females in the 600 mg/kg bw/day group, but the duration of the diarrhoea was not specified. The affected rats in the 600 mg/kg bw/day group also exhibited reduced activity, thin appearance and piloerection. There were no significant treatment-related effects on body weight or food consumption. Group mean aspartate aminotransferase (AST) of male rats treated with ≥300 mg/kg bw/day carnosic acid was slightly higher than that of male controls, and showed an apparent dose-response relationship, 15% and 20% higher than that of male controls in the 300 and 600 mg/kg bw/day groups respectively. Group mean total protein was slightly lower in male rats than in male controls, but a dose-response relationship was not evident and in clinical terms the difference was negligible. No other haematology or clinical chemistry parameters showed statistically significant differences to those of sex-matched controls</w:t>
      </w:r>
      <w:r w:rsidR="00495378">
        <w:t xml:space="preserve">. </w:t>
      </w:r>
      <w:r w:rsidRPr="00D03F63">
        <w:t xml:space="preserve">Rats of both sexes treated with ≥300 mg/kg bw/day carnosic acid had group mean liver:bodyweight ratios higher than those of sex-matched controls, but a dose-response relationship was evident only in females. Compared to group mean liver:bodyweight ratios of control females, group mean values were approximately 10% and 16% higher in the 300 and 600 mg/kg bw/day females respectively. Group mean kidney:bodyweight ratios of males dosed with 600 mg/kg bw/day carnosic acid were 15% lower than those of sex-matched controls. Microscopic lesions were found only in the 600 mg/kg bw/day group, but were present in both sexes in that group. In hearts, multiple small foci of myocardial fibrosis and inflammatory cell infiltration were observed. Mild multifocal inflammatory infiltration was also present in the liver sinusoids. Minimal multifocal hydropic degeneration was present in the proximal convoluted tubules of the kidneys. </w:t>
      </w:r>
    </w:p>
    <w:p w14:paraId="0AD9D7EF" w14:textId="77777777" w:rsidR="009E7F57" w:rsidRPr="00D03F63" w:rsidRDefault="009E7F57" w:rsidP="00D03F63"/>
    <w:p w14:paraId="623D9AA7" w14:textId="35D4B1F1" w:rsidR="00D03F63" w:rsidRPr="00D03F63" w:rsidRDefault="00D03F63" w:rsidP="00D03F63">
      <w:r w:rsidRPr="00D03F63">
        <w:t xml:space="preserve">The authors of the study did not identify a NOAEL. </w:t>
      </w:r>
      <w:r w:rsidR="00034D05">
        <w:t xml:space="preserve">Because of lack of detail concerning the clinical observations, and inconsistencies in findings between this study and those summarized by JECFA, FSANZ does not consider this study to be suitable as a definitive study. </w:t>
      </w:r>
    </w:p>
    <w:p w14:paraId="7062E6A9" w14:textId="77777777" w:rsidR="00D03F63" w:rsidRPr="00D03F63" w:rsidRDefault="00D03F63" w:rsidP="00D03F63"/>
    <w:p w14:paraId="1D37D41D" w14:textId="77777777" w:rsidR="00D03F63" w:rsidRPr="00D03F63" w:rsidRDefault="00D03F63" w:rsidP="00D03F63">
      <w:r w:rsidRPr="00D03F63">
        <w:t xml:space="preserve">JECFA (2017) reviewed a number of unpublished studies of rosemary extract in rats. FSANZ does not have access to those studies. Studies ranged in duration from 14 to 90 days, carnosic acid and carnosol content of the test article ranged from 5 to 33%, and the dosage of carnosic acid and carnosol ranged from 3 to 69 mg/kg bw/day. A consistent finding in the 90 day studies was an increase in liver weight in treated animals, associated with centrilobular hypertrophy, changes in hepatocyte cytoplasm consistent with increased glycogen storage, and increased smooth endoplasmic reticulum. In the absence in increases in circulating liver enzymes, JECFA concluded that these were adaptive changes. Slight bile duct hyperplasia in one four-week study was similarly considered non-adverse. The highest NOAEL among the 90-day studies, expressed as carnosic acid plus carnosol, was 64 mg/kg bw/day. </w:t>
      </w:r>
    </w:p>
    <w:p w14:paraId="01D1139D" w14:textId="355885F9" w:rsidR="00D03F63" w:rsidRPr="00D03F63" w:rsidRDefault="0055434B" w:rsidP="005137FA">
      <w:pPr>
        <w:pStyle w:val="Heading3"/>
      </w:pPr>
      <w:bookmarkStart w:id="100" w:name="_Toc517709883"/>
      <w:bookmarkStart w:id="101" w:name="_Toc518388283"/>
      <w:bookmarkStart w:id="102" w:name="_Toc526498372"/>
      <w:r>
        <w:t>3.2.3</w:t>
      </w:r>
      <w:r>
        <w:tab/>
      </w:r>
      <w:r w:rsidR="00D03F63" w:rsidRPr="00D03F63">
        <w:t>Chronic and carcinogenicity studies in animals</w:t>
      </w:r>
      <w:bookmarkEnd w:id="100"/>
      <w:bookmarkEnd w:id="101"/>
      <w:bookmarkEnd w:id="102"/>
    </w:p>
    <w:p w14:paraId="4CEA0E8E" w14:textId="416C66F6" w:rsidR="00D03F63" w:rsidRPr="00D03F63" w:rsidRDefault="00D03F63" w:rsidP="00D03F63">
      <w:r w:rsidRPr="00D03F63">
        <w:t xml:space="preserve">No chronic or carcinogenicity studies of rosemary extract, carnosic acid or carnosol were submitted in the application or located from other sources. </w:t>
      </w:r>
      <w:r w:rsidR="002B7DD1">
        <w:t xml:space="preserve">Such studies are not considered to be necessary for hazard assessment of rosemary extract, because genotoxicity assays are negative and there is no evidence of preneoplastic lesions in short-term studies. </w:t>
      </w:r>
    </w:p>
    <w:p w14:paraId="4A3D30FC" w14:textId="62E9BCE0" w:rsidR="00D03F63" w:rsidRPr="00D03F63" w:rsidRDefault="0098140A" w:rsidP="005137FA">
      <w:pPr>
        <w:pStyle w:val="Heading3"/>
      </w:pPr>
      <w:bookmarkStart w:id="103" w:name="_Toc517709884"/>
      <w:bookmarkStart w:id="104" w:name="_Toc518388284"/>
      <w:bookmarkStart w:id="105" w:name="_Toc526498373"/>
      <w:r>
        <w:t>3.2.4</w:t>
      </w:r>
      <w:r>
        <w:tab/>
      </w:r>
      <w:r w:rsidR="00D03F63" w:rsidRPr="00D03F63">
        <w:t>Genotoxicity</w:t>
      </w:r>
      <w:bookmarkEnd w:id="103"/>
      <w:bookmarkEnd w:id="104"/>
      <w:bookmarkEnd w:id="105"/>
    </w:p>
    <w:p w14:paraId="288D0465" w14:textId="63E65216" w:rsidR="00D03F63" w:rsidRDefault="00D03F63" w:rsidP="00D03F63">
      <w:pPr>
        <w:rPr>
          <w:i/>
        </w:rPr>
      </w:pPr>
      <w:r w:rsidRPr="00D03F63">
        <w:t>In vivo</w:t>
      </w:r>
      <w:r w:rsidRPr="00D03F63">
        <w:rPr>
          <w:i/>
        </w:rPr>
        <w:t xml:space="preserve"> chromosome aberration and micronucleus assay of rosemary extract in bone marrow cells of Wistar rats (Gaiani </w:t>
      </w:r>
      <w:r w:rsidRPr="00D03F63">
        <w:t>et al</w:t>
      </w:r>
      <w:r w:rsidRPr="00D03F63">
        <w:rPr>
          <w:i/>
        </w:rPr>
        <w:t>. 2006). Regulatory status: Non-GLP</w:t>
      </w:r>
    </w:p>
    <w:p w14:paraId="66826653" w14:textId="77777777" w:rsidR="00974E1D" w:rsidRDefault="00974E1D" w:rsidP="00D03F63"/>
    <w:p w14:paraId="44EE7028" w14:textId="09F71236" w:rsidR="00D03F63" w:rsidRDefault="00D03F63" w:rsidP="00D03F63">
      <w:r w:rsidRPr="00D03F63">
        <w:t>The rosemary extract used in this study was prepared by the study authors from leaves and stems of rosemary. The extraction was performed using “hydroalcoholic solutions” of unstated alcohol concentration. The test subjects were Wistar rats, obtained at six weeks old and group-housed under standard laboratory environmental conditions. Rats were assigned to three experimental and two control groups, 3 rats/sex/group. The experimental groups were administered a single dose of rosemary extract by oral gavage, at a dose volume of 0.5 mL and a concentration of 6.43, 100 or 200 mg/kg bw of rosemary extract (as dry weight) in water. The negative control group was gavaged with 0.5 mL water. The positive control group was dosed with cyclophosphamide, 30 mg/kg bw. Rats were given an intraperitoneal injection of 0.5 mL 0.16% colchicine 22.5 hours after being dosed by gavage. Ninety minutes after the colchicine injection,  rats were killed by CO</w:t>
      </w:r>
      <w:r w:rsidRPr="00D03F63">
        <w:rPr>
          <w:vertAlign w:val="subscript"/>
        </w:rPr>
        <w:t>2</w:t>
      </w:r>
      <w:r w:rsidRPr="00D03F63">
        <w:t xml:space="preserve"> asphyxiation. Both femurs were excised from each rat, the marrows of both bones removed, and cells processed for examination. Two thousand polychromatic erythrocytes from each rat were examined for presence of micronuclei. One hundred metaphases from each rat were examined for chromosomal aberrations. The mitotic index was determined by counting the number of mitotic cells in 1000 cells per rat. Treatment with rosemary extract had no significant effect on frequency of micronuclei in polychromatic erythrocytes, mitotic index or frequency of any type of chromosomal aberration, when compared to cells from rats in the negative control group. Frequency of chromosomal aberrations was significantly increased in cells from rats in the positive control group, confirming the validity of the assay. It was concluded that the rosemary extract was not cytotoxic or clastogenic at the doses tested. </w:t>
      </w:r>
    </w:p>
    <w:p w14:paraId="0A5183BA" w14:textId="77777777" w:rsidR="009E7F57" w:rsidRPr="00D03F63" w:rsidRDefault="009E7F57" w:rsidP="00D03F63">
      <w:pPr>
        <w:rPr>
          <w:i/>
        </w:rPr>
      </w:pPr>
    </w:p>
    <w:p w14:paraId="74373E33" w14:textId="7B674652" w:rsidR="00D03F63" w:rsidRDefault="00D03F63" w:rsidP="00D03F63">
      <w:pPr>
        <w:rPr>
          <w:i/>
        </w:rPr>
      </w:pPr>
      <w:r w:rsidRPr="00D03F63">
        <w:t xml:space="preserve">In vitro </w:t>
      </w:r>
      <w:r w:rsidRPr="00D03F63">
        <w:rPr>
          <w:i/>
        </w:rPr>
        <w:t>micronucleus assay of rosemary extract (de Oliveira et al. 2017) Regulatory status: Non-GLP</w:t>
      </w:r>
    </w:p>
    <w:p w14:paraId="4401AD80" w14:textId="77777777" w:rsidR="00874070" w:rsidRPr="00D03F63" w:rsidRDefault="00874070" w:rsidP="00D03F63"/>
    <w:p w14:paraId="065A1D3F" w14:textId="77777777" w:rsidR="00D03F63" w:rsidRDefault="00D03F63" w:rsidP="00D03F63">
      <w:r w:rsidRPr="00D03F63">
        <w:lastRenderedPageBreak/>
        <w:t>The test article for this study was a commercial rosemary extract, although the solvent was not specified. The test systems were cultures of murine macrophages (RAW 264.7), human gingival fibroblasts (FMM-1), human breast carcinoma cells (MCF-7) and human cervical carcinoma cells (HeLa). Cells were cultured in 24-well plates at a density of 2 x 10</w:t>
      </w:r>
      <w:r w:rsidRPr="00D03F63">
        <w:rPr>
          <w:vertAlign w:val="superscript"/>
        </w:rPr>
        <w:t>4</w:t>
      </w:r>
      <w:r w:rsidRPr="00D03F63">
        <w:t xml:space="preserve">/mL in Dulbecco’s modified Eagle’s medium (DMEM) for 24 h. The supernatant was then discarded and replaced with DMEM containing 0, 25, 50 or 100 mg/mL rosemary extract. Each assay was performed in duplicate. After 24 h incubation, the supernatant was discarded and the cultures were washed with phosphate-buffered saline to remove nonviable cells. Remaining cells were fixed with 10% formaldehyde for 10 min, washed and stained for fluorescence microscopy. The frequency of micronuclei was observed in 1000 cells at each concentration of rosemary extract. Incubation with rosemary extract did not have any significant effect on the frequency of micronuclei in RAW 264.7 cells. In FMM-1 cells and MCF-7 cells, exposure to rosemary extract resulted in a significantly lower frequency of micronuclei than in control cells, and rosemary extract concentration of ≥ 50 mg/mL completely inhibited the production of micronuclei in MCF-7 cells. Micronucleus frequency was low in all HeLa cells, so treatment had no statistically significant effect, but micronucleus production was completely inhibited at concentrations of rosemary extract ≥ 50 mg/mL. It was concluded that rosemary extract is not genotoxic under the conditions of the assay. </w:t>
      </w:r>
    </w:p>
    <w:p w14:paraId="4A20B0F5" w14:textId="77777777" w:rsidR="009E7F57" w:rsidRPr="00D03F63" w:rsidRDefault="009E7F57" w:rsidP="00D03F63"/>
    <w:p w14:paraId="6331943F" w14:textId="77777777" w:rsidR="00D03F63" w:rsidRPr="00D03F63" w:rsidRDefault="00D03F63" w:rsidP="00D03F63">
      <w:r w:rsidRPr="00D03F63">
        <w:t xml:space="preserve">No other genotoxicity assays of rosemary extract were submitted or located in the peer-reviewed scientific literature. JECFA (WHO 2017) had access to a number of unpublished reports of genotoxicity assays of rosemary extract. These included a human lymphocyte mutagenicity assay, a TK6 (human lymphoblastoid cell) gene mutation assay, two bacterial reverse mutation assays (Ames tests) and a mouse micronucleus assay. JECFA concluded that the results did not indicate a genotoxic concern. </w:t>
      </w:r>
    </w:p>
    <w:p w14:paraId="2E375027" w14:textId="5830B70A" w:rsidR="00D03F63" w:rsidRPr="00D03F63" w:rsidRDefault="0098140A" w:rsidP="005137FA">
      <w:pPr>
        <w:pStyle w:val="Heading3"/>
      </w:pPr>
      <w:bookmarkStart w:id="106" w:name="_Toc517709885"/>
      <w:bookmarkStart w:id="107" w:name="_Toc518388285"/>
      <w:bookmarkStart w:id="108" w:name="_Toc526498374"/>
      <w:r>
        <w:t>3.2.5</w:t>
      </w:r>
      <w:r>
        <w:tab/>
      </w:r>
      <w:r w:rsidR="00D03F63" w:rsidRPr="00D03F63">
        <w:t>Developmental and reproductive studies in animals</w:t>
      </w:r>
      <w:bookmarkEnd w:id="106"/>
      <w:bookmarkEnd w:id="107"/>
      <w:bookmarkEnd w:id="108"/>
    </w:p>
    <w:p w14:paraId="02E00721" w14:textId="7F1FBB37" w:rsidR="00981A39" w:rsidRDefault="00981A39" w:rsidP="00981A39"/>
    <w:p w14:paraId="28A60C19" w14:textId="1990377A" w:rsidR="00981A39" w:rsidRPr="00DB3573" w:rsidRDefault="00981A39" w:rsidP="00981A39">
      <w:pPr>
        <w:rPr>
          <w:i/>
        </w:rPr>
      </w:pPr>
      <w:r w:rsidRPr="00DB3573">
        <w:rPr>
          <w:i/>
        </w:rPr>
        <w:t>Reproductive and developmental toxicity study of dietary rosemary extract in Crl:WI(Han) rats (Sequani Ltd. 2018</w:t>
      </w:r>
      <w:r w:rsidR="00DA1DEF" w:rsidRPr="00DB3573">
        <w:rPr>
          <w:i/>
        </w:rPr>
        <w:t>; draft final report</w:t>
      </w:r>
      <w:r w:rsidRPr="00DB3573">
        <w:rPr>
          <w:i/>
        </w:rPr>
        <w:t>) Regulatory status: GLP; conducted according to OECD Guideline 421</w:t>
      </w:r>
    </w:p>
    <w:p w14:paraId="052AF6CC" w14:textId="77777777" w:rsidR="00981A39" w:rsidRPr="00DB3573" w:rsidRDefault="00981A39" w:rsidP="00981A39"/>
    <w:p w14:paraId="5C4AB02C" w14:textId="77777777" w:rsidR="00981A39" w:rsidRPr="00DB3573" w:rsidRDefault="00981A39" w:rsidP="00981A39">
      <w:r w:rsidRPr="00DB3573">
        <w:t>The test article in this study was rosemary extract containing 42.98 % carnosic acid and 4.24 % carnosol. The stability of the test article in formulated diets was determined in a preliminary study and diets were maintained and used within the conditions determined. Concentration and homogeneity of the test diets were assayed from diet preparations for the start of dosing, the start of lactation in females, the end of the lactation period (postnatal day 13) in females, and for the final dose preparation for males. Rosemary extract was administered at 0, 2100, 3600 and 5000 ppm in the diet throughout the study, except for P generation females from gestation day (GD) 20 through to termination on postnatal day (PND) 13, when the concentration of test article in the diet was halved for each treatment group in order to adjust for increased food consumption.</w:t>
      </w:r>
    </w:p>
    <w:p w14:paraId="38556D70" w14:textId="77777777" w:rsidR="00981A39" w:rsidRPr="00DB3573" w:rsidRDefault="00981A39" w:rsidP="00981A39"/>
    <w:p w14:paraId="40543947" w14:textId="2F4342E6" w:rsidR="00981A39" w:rsidRPr="00DB3573" w:rsidRDefault="00981A39" w:rsidP="00981A39">
      <w:r w:rsidRPr="00DB3573">
        <w:t xml:space="preserve">The test subjects were Crl:WI(Han) rats. P generation males were </w:t>
      </w:r>
      <w:r w:rsidR="003C2E8A">
        <w:t>eight</w:t>
      </w:r>
      <w:r w:rsidRPr="00DB3573">
        <w:t xml:space="preserve"> to </w:t>
      </w:r>
      <w:r w:rsidR="003C2E8A">
        <w:t>nine</w:t>
      </w:r>
      <w:r w:rsidRPr="00DB3573">
        <w:t xml:space="preserve"> weeks of age and females were 11 to 12 weeks of age on arrival. Rats were acclimatised for 19 days prior to study start, and then assigned to study groups of 10/sex/group. Through acclimatisation and the in-life phase, rats were kept under standard laboratory environmental conditions. Prior to mating, rats were group-housed as either </w:t>
      </w:r>
      <w:r w:rsidR="003C2E8A">
        <w:t>three</w:t>
      </w:r>
      <w:r w:rsidRPr="00DB3573">
        <w:t xml:space="preserve"> males or </w:t>
      </w:r>
      <w:r w:rsidR="003C2E8A">
        <w:t>four</w:t>
      </w:r>
      <w:r w:rsidRPr="00DB3573">
        <w:t xml:space="preserve"> females/cage. Rats were kept in pairs of one male and one female for mating. After mating, males were returned to their group cages and females were housed individually through pregnancy and with their pups from parturition. Food and water were provided ad libitum. </w:t>
      </w:r>
    </w:p>
    <w:p w14:paraId="7A263F97" w14:textId="77777777" w:rsidR="00981A39" w:rsidRPr="00DB3573" w:rsidRDefault="00981A39" w:rsidP="00981A39"/>
    <w:p w14:paraId="28628C27" w14:textId="7F5E1DF8" w:rsidR="00981A39" w:rsidRPr="00DB3573" w:rsidRDefault="00981A39" w:rsidP="00981A39">
      <w:r w:rsidRPr="00DB3573">
        <w:t xml:space="preserve">P generation rats were dosed for two weeks prior to being pair-housed for mating for two weeks. The P generation rats were subject to twice-daily cageside checks for mortality and </w:t>
      </w:r>
      <w:r w:rsidRPr="00DB3573">
        <w:lastRenderedPageBreak/>
        <w:t xml:space="preserve">moribundity, daily cageside observations and weekly detailed observations. P generation males were weighed on Study Day 1 and weekly thereafter until they were killed and necropsied, after all the females had been confirmed as pregnant. Bodyweights of P generation females were recorded on the Study Day 1 and then at weekly intervals until the day of mating.  Females were also weighed on Days 0, 7, 14 and 20 of gestation and on Days 1, 4, 7, 10 and 13 of lactation. Bodyweights of rats of both sexes in the 5000 ppm dose group were also recorded in the middle of the first week of study. Food consumption of P generation males was recorded weekly prior to mating and after the mating period until termination, but not during the mating period. Food consumption of P generation females was recorded weekly prior to mating, was not recorded during the mating period, but was recorded on an individual basis </w:t>
      </w:r>
      <w:r w:rsidR="00DF1EF7" w:rsidRPr="00DB3573">
        <w:t xml:space="preserve">on </w:t>
      </w:r>
      <w:r w:rsidRPr="00DB3573">
        <w:t xml:space="preserve">Gestation Days (GDs) 0 to 4, 4 to 7, 7 to 10, 10 to 14, 14 to 17 and 17 to 20, and Postnatal Days (PNDs) 1 to 4, 4 to 7, 7 to 10 and 10 to 13.  </w:t>
      </w:r>
    </w:p>
    <w:p w14:paraId="67A7773A" w14:textId="77777777" w:rsidR="00981A39" w:rsidRPr="00DB3573" w:rsidRDefault="00981A39" w:rsidP="00981A39"/>
    <w:p w14:paraId="1E95DBB7" w14:textId="4B59E831" w:rsidR="00981A39" w:rsidRPr="00DB3573" w:rsidRDefault="00981A39" w:rsidP="00981A39">
      <w:r w:rsidRPr="00DB3573">
        <w:t xml:space="preserve">The number of pups per litter was recorded on the day of birth (PND 1) and anogenital distance of each pup was recorded. On PND 4, litters were culled to not more than </w:t>
      </w:r>
      <w:r w:rsidR="00312713">
        <w:t>eight</w:t>
      </w:r>
      <w:r w:rsidRPr="00DB3573">
        <w:t xml:space="preserve"> pups, with as close to an even number of male and female pups as possible. Blood was collected and pooled from culled pups on a per litter basis for T4 determination. Pups were subject to twice-daily mortality and moribundity checks, and daily </w:t>
      </w:r>
      <w:r w:rsidR="00312713" w:rsidRPr="00DB3573">
        <w:t>cage side</w:t>
      </w:r>
      <w:r w:rsidRPr="00DB3573">
        <w:t xml:space="preserve"> clinical observations. Bodyweights were recorded for individual pups on PNDs 1, 4, 7, 10 and 13. Male pups were examined for nipples or areolae on PND 12. </w:t>
      </w:r>
    </w:p>
    <w:p w14:paraId="761AC7AE" w14:textId="77777777" w:rsidR="00981A39" w:rsidRPr="00DB3573" w:rsidRDefault="00981A39" w:rsidP="00981A39"/>
    <w:p w14:paraId="7C6B53FF" w14:textId="77777777" w:rsidR="00981A39" w:rsidRPr="00DB3573" w:rsidRDefault="00981A39" w:rsidP="00981A39">
      <w:r w:rsidRPr="00DB3573">
        <w:t>P generation males were killed by CO</w:t>
      </w:r>
      <w:r w:rsidRPr="00DB3573">
        <w:rPr>
          <w:vertAlign w:val="subscript"/>
        </w:rPr>
        <w:t>2</w:t>
      </w:r>
      <w:r w:rsidRPr="00DB3573">
        <w:t xml:space="preserve"> inhalation after all the P generation females had littered. P generation females were killed by CO</w:t>
      </w:r>
      <w:r w:rsidRPr="00DB3573">
        <w:rPr>
          <w:vertAlign w:val="subscript"/>
        </w:rPr>
        <w:t>2</w:t>
      </w:r>
      <w:r w:rsidRPr="00DB3573">
        <w:t xml:space="preserve"> inhalation on PND 13. All P generation rats were subject to blood collection and gross necropsy, and the number of implantation sites was recorded for each P generation female. The weights of testes, epididymides, prostate, seminal vesicles (including coagulating glands) were recorded for P generation males, and the tissues were then preserved and processed for histopathology, as well as thyroids (including parathyroids) and any gross lesions. Tissues preserved and processed for histopathology from P generation females were thyroids (including parathyroids), any gross lesions, ovaries, vagina, and uterus including cervix and oviducts. </w:t>
      </w:r>
    </w:p>
    <w:p w14:paraId="3C824C28" w14:textId="77777777" w:rsidR="00981A39" w:rsidRPr="00DB3573" w:rsidRDefault="00981A39" w:rsidP="00981A39"/>
    <w:p w14:paraId="6DB0715F" w14:textId="77777777" w:rsidR="00981A39" w:rsidRPr="00DB3573" w:rsidRDefault="00981A39" w:rsidP="00981A39">
      <w:r w:rsidRPr="00DB3573">
        <w:t xml:space="preserve">Pups were killed by decapitation on PND 13 with collection of blood from one pup/sex/litter.  Pups were subject to gross external examination, and whenever possible, a thyroid gland was collected from one pup/sex/litter and preserved for histopathological examination. </w:t>
      </w:r>
    </w:p>
    <w:p w14:paraId="24FA375C" w14:textId="77777777" w:rsidR="00981A39" w:rsidRPr="00DB3573" w:rsidRDefault="00981A39" w:rsidP="00981A39"/>
    <w:p w14:paraId="2E2A82FD" w14:textId="3194B68B" w:rsidR="00981A39" w:rsidRPr="00DB3573" w:rsidRDefault="00981A39" w:rsidP="00981A39">
      <w:r w:rsidRPr="00DB3573">
        <w:t xml:space="preserve">Measured concentrations of carnosic acid confirmed that concentrations of rosemary extract were within 13% of target values and suitable for use </w:t>
      </w:r>
      <w:r w:rsidR="00247AE7">
        <w:t xml:space="preserve">in the </w:t>
      </w:r>
      <w:r w:rsidRPr="00DB3573">
        <w:t xml:space="preserve">study. No carnosic acid was detected in control diets. Homogeneous distribution of carnosic acid in the test diets was also confirmed. Mean intakes of rosemary extract by P generation males were 0, 129.5, 218.9 and 316.2 mg/kg bw/day. Mean intakes of rosemary extract by P generation females were 0, 166.7, 275.5 and 401.2 mg/kg bw/day. </w:t>
      </w:r>
      <w:r w:rsidR="00817642" w:rsidRPr="00DB3573">
        <w:t xml:space="preserve">When expressed as carnosic acid plus carnosol, these values were 0, 61.2, 103.4 and </w:t>
      </w:r>
      <w:r w:rsidR="00A079A8" w:rsidRPr="00DB3573">
        <w:t>149</w:t>
      </w:r>
      <w:r w:rsidR="00817642" w:rsidRPr="00DB3573">
        <w:t xml:space="preserve">.3 mg/kg bw/day for males and 0, 78.7, 130.1 and 189.4 mg/kg bw/day for females. </w:t>
      </w:r>
    </w:p>
    <w:p w14:paraId="2FEFF116" w14:textId="77777777" w:rsidR="00981A39" w:rsidRPr="00DB3573" w:rsidRDefault="00981A39" w:rsidP="00981A39"/>
    <w:p w14:paraId="2300B648" w14:textId="77777777" w:rsidR="00981A39" w:rsidRPr="00DB3573" w:rsidRDefault="00981A39" w:rsidP="00981A39">
      <w:r w:rsidRPr="00DB3573">
        <w:t xml:space="preserve">Administration had no effect on P generation survival, food intake, oestrus cycling, fertility, gestational duration, post-implantation loss, number of pups born alive, pup sex ratio, pup survival, organ weights, or gross necropsy findings. Group mean serum T4, measured in P generation males, did not show any dose-related effects. The group mean bodyweight gain of 5000 ppm males was slightly lower than that of control males, but this is likely to be affected by very poor weight gain in one individual in the two weeks prior to the mating period. Group mean weights of organs of the reproductive tract in P generation males showed no treatment-related effects. Dietary exposure to rosemary extract had no effect on the group mean bodyweight gain of pregnant P generation females, and during lactation their group mean bodyweight gain was slightly increased relative to female controls. </w:t>
      </w:r>
    </w:p>
    <w:p w14:paraId="6D5DA119" w14:textId="77777777" w:rsidR="00981A39" w:rsidRPr="00DB3573" w:rsidRDefault="00981A39" w:rsidP="00981A39"/>
    <w:p w14:paraId="3BFA3E15" w14:textId="475CAD66" w:rsidR="00981A39" w:rsidRPr="00DB3573" w:rsidRDefault="00981A39" w:rsidP="00981A39">
      <w:r w:rsidRPr="00DB3573">
        <w:lastRenderedPageBreak/>
        <w:t>In pups (F generation) there were no treatment-related effects on survival, mean bodyweight or bodyweight gains</w:t>
      </w:r>
      <w:r w:rsidR="00247AE7">
        <w:t>,</w:t>
      </w:r>
      <w:r w:rsidRPr="00DB3573">
        <w:t xml:space="preserve"> clinical signs, anogenital distance at PND 13, retention of nipples or areolae in male pups at PND 13, or external anatomical features including genitalia</w:t>
      </w:r>
      <w:r w:rsidR="007C10BA" w:rsidRPr="00DB3573">
        <w:t>.</w:t>
      </w:r>
      <w:r w:rsidRPr="00DB3573">
        <w:t xml:space="preserve"> At PND 13, but not PND 4, there was a dose-related decrease in group mean serum T4 in pups in all treatment groups. Compared to male F controls, the values for F males were 5%, 18% and 27% lower in the 2100, 3600 and 5000 ppm and high dose groups respectively. The corresponding values in females were 4%, 15% and 25% lower than those of female F controls. The differences for pups of dams in the mid- and high-dose groups were statistically significant (p ≤0.001). There were no test item-related histopathological findings in the thyroid glands in any rats given rosemary extract, and there were no associated changes in developmental rate in the F generation pups. </w:t>
      </w:r>
    </w:p>
    <w:p w14:paraId="0A2C8B2B" w14:textId="77777777" w:rsidR="00981A39" w:rsidRPr="00DB3573" w:rsidRDefault="00981A39" w:rsidP="00981A39"/>
    <w:p w14:paraId="69E3946F" w14:textId="57CA4915" w:rsidR="00981A39" w:rsidRPr="00DB3573" w:rsidRDefault="00981A39" w:rsidP="00981A39">
      <w:r w:rsidRPr="00DB3573">
        <w:t xml:space="preserve">As a consequence of the findings in group mean T4 values of F generation pups on PND 13, TSH was also determined from the blood collected from the same rats, although the assays were not conducted under GLP. TSH values at PND 13 were highly variable, with the standard deviations around the group means as large as, or larger than, the group means. For males, group mean TSH concentration was higher (approximately +20%) at 2100 ppm when compared with </w:t>
      </w:r>
      <w:r w:rsidR="00247AE7">
        <w:t>c</w:t>
      </w:r>
      <w:r w:rsidRPr="00DB3573">
        <w:t>ontrols, whereas at 3600 and 5000 ppm, group mean TSH concentrations were reduced (approximately -42% and -71% respectively). For females, the group mean TSH value at 2100 ppm was comparable (approximately + 3%) with that of controls but group mean values at the 3600 and 5000 ppm were reduced (approximately 51% and 62% respectively), although there was no clear dose-response relationship.</w:t>
      </w:r>
    </w:p>
    <w:p w14:paraId="5AC25FC8" w14:textId="77777777" w:rsidR="00981A39" w:rsidRPr="00DB3573" w:rsidRDefault="00981A39" w:rsidP="00981A39"/>
    <w:p w14:paraId="6CB0E02D" w14:textId="2085B29E" w:rsidR="00891DEE" w:rsidRDefault="005137FA" w:rsidP="00D03F63">
      <w:r w:rsidRPr="00DB3573">
        <w:t>The NOAEL for reproductive parameters of parental (P) generation, and the NOAEL for maternal toxicity, was the highest dose tested, equivalent to 316.2 mg/kg bw/day rosemary extract for males and 401.2 mg/kg bw/day rosemary extract for females. When these values are converted to the sum of carnosic acid and carnosol, they are 149.3 mg/kg bw/day for males and 189.4 mg/kg bw/day for females. The NOAEL for offspring toxicity was 166.7 mg/kg bw/day, equivalent to 78.7 mg/kg bw/day carnosic acid and carnosol, on the basis of low group mean serum T4 a</w:t>
      </w:r>
      <w:r w:rsidR="00405BC0" w:rsidRPr="00DB3573">
        <w:t>nd TSH</w:t>
      </w:r>
      <w:r w:rsidRPr="00DB3573">
        <w:t xml:space="preserve"> in pups at higher doses on PND 13. </w:t>
      </w:r>
      <w:r w:rsidR="00891DEE" w:rsidRPr="00DB3573">
        <w:t xml:space="preserve">The FSANZ conclusion differs to the study authors who considered that the decreases in T4 concentration were not </w:t>
      </w:r>
      <w:r w:rsidRPr="00DB3573">
        <w:t xml:space="preserve">adverse on the basis that they were not </w:t>
      </w:r>
      <w:r w:rsidR="00891DEE" w:rsidRPr="00DB3573">
        <w:t xml:space="preserve">associated with histological changes </w:t>
      </w:r>
      <w:r w:rsidRPr="00DB3573">
        <w:t xml:space="preserve">in the thyroid gland </w:t>
      </w:r>
      <w:r w:rsidR="00891DEE" w:rsidRPr="00DB3573">
        <w:t xml:space="preserve">or signs of developmental delay. </w:t>
      </w:r>
      <w:r w:rsidR="00D35A2F" w:rsidRPr="00DB3573">
        <w:t>Triiodothyronine (</w:t>
      </w:r>
      <w:r w:rsidR="00405BC0" w:rsidRPr="00DB3573">
        <w:t>T3</w:t>
      </w:r>
      <w:r w:rsidR="00D35A2F" w:rsidRPr="00DB3573">
        <w:t>)</w:t>
      </w:r>
      <w:r w:rsidR="00405BC0" w:rsidRPr="00DB3573">
        <w:t xml:space="preserve"> measurements were not available to FSANZ at the time of review.</w:t>
      </w:r>
      <w:r w:rsidR="00405BC0">
        <w:t xml:space="preserve"> </w:t>
      </w:r>
    </w:p>
    <w:p w14:paraId="3E0970CA" w14:textId="77777777" w:rsidR="00891DEE" w:rsidRDefault="00891DEE" w:rsidP="00D03F63"/>
    <w:p w14:paraId="024F5941" w14:textId="2998E464" w:rsidR="00D03F63" w:rsidRPr="00585ED3" w:rsidRDefault="0098140A" w:rsidP="005137FA">
      <w:pPr>
        <w:pStyle w:val="Heading3"/>
      </w:pPr>
      <w:bookmarkStart w:id="109" w:name="_Toc517709886"/>
      <w:bookmarkStart w:id="110" w:name="_Toc518388286"/>
      <w:bookmarkStart w:id="111" w:name="_Toc526498375"/>
      <w:r>
        <w:t>3.2.6</w:t>
      </w:r>
      <w:r>
        <w:tab/>
      </w:r>
      <w:r w:rsidR="00D03F63" w:rsidRPr="00585ED3">
        <w:t>Special studies in animals</w:t>
      </w:r>
      <w:bookmarkEnd w:id="109"/>
      <w:bookmarkEnd w:id="110"/>
      <w:bookmarkEnd w:id="111"/>
    </w:p>
    <w:p w14:paraId="391FB634" w14:textId="174B8EFC" w:rsidR="00D03F63" w:rsidRPr="00D03F63" w:rsidRDefault="00D03F63" w:rsidP="00D03F63">
      <w:r w:rsidRPr="00D03F63">
        <w:t xml:space="preserve">Replacing the basal diet of Segureña ewes with 10% or 20% w/w distilled rosemary leaves throughout gestation and lactation did not have any significant effect on the mean daily weight gain of their lambs from birth to slaughter, when compared to that of lambs from control ewes fed only the basal diet. The group mean daily weight gain of lambs from control ewes was 0.18 ± 0.087 kg bw/day. The lambs of the ewes in the 10% rosemary extract group had a group mean daily body weight gain of 0.18 ± 0.093 kg/day, while that of lambs from ewes in the 20% group was 0.19± 0.075 kg/day (Moñino </w:t>
      </w:r>
      <w:r w:rsidRPr="00D03F63">
        <w:rPr>
          <w:i/>
        </w:rPr>
        <w:t>et al</w:t>
      </w:r>
      <w:r w:rsidRPr="00D03F63">
        <w:t>. 2008)</w:t>
      </w:r>
      <w:r w:rsidR="00495378">
        <w:t xml:space="preserve">. </w:t>
      </w:r>
      <w:r w:rsidRPr="00D03F63">
        <w:t xml:space="preserve">Supplementation of the diet of lactating Valle del Belice ewes with 1200 mg/day rosemary extract significantly increased their milk supply. Although the protein and casein content decreased when expressed as a percentage, the increased milk supply meant that there was an overall increase in daily production of casein, total protein, fat and lactose. However rosemary extract fed at 600 mg/day did not have the same effects (Chiafalo </w:t>
      </w:r>
      <w:r w:rsidRPr="00D03F63">
        <w:rPr>
          <w:i/>
        </w:rPr>
        <w:t>et al</w:t>
      </w:r>
      <w:r w:rsidRPr="00D03F63">
        <w:t xml:space="preserve">. 2010). Boutoial </w:t>
      </w:r>
      <w:r w:rsidRPr="00D03F63">
        <w:rPr>
          <w:i/>
        </w:rPr>
        <w:t>et al.</w:t>
      </w:r>
      <w:r w:rsidRPr="00D03F63">
        <w:t xml:space="preserve"> (2013) did not report the daily milk production of Murciana-Granadina goats, but their results show that the percentage of dry matter, fat and lactose decreased in milk of goats fed distilled rosemary leaves as 20% w/w of the diet, while supplementation with ≥ 10% distilled rosemary leaves was associated with an increase in protein content. Changes were also observed in the relative percentages of fatty acids in the milk. At ≥10% rosemary leaves in </w:t>
      </w:r>
      <w:r w:rsidRPr="00D03F63">
        <w:lastRenderedPageBreak/>
        <w:t>the diet, there was a decrease in C</w:t>
      </w:r>
      <w:r w:rsidRPr="00D03F63">
        <w:rPr>
          <w:vertAlign w:val="subscript"/>
        </w:rPr>
        <w:t>14</w:t>
      </w:r>
      <w:r w:rsidRPr="00D03F63">
        <w:t xml:space="preserve"> and increases in C</w:t>
      </w:r>
      <w:r w:rsidRPr="00D03F63">
        <w:rPr>
          <w:vertAlign w:val="subscript"/>
        </w:rPr>
        <w:t xml:space="preserve">18:2 </w:t>
      </w:r>
      <w:r w:rsidRPr="00D03F63">
        <w:t>and PUFA content, and at 20% rosemary leaves in the diet, there was also a decrease in C</w:t>
      </w:r>
      <w:r w:rsidRPr="00D03F63">
        <w:rPr>
          <w:vertAlign w:val="subscript"/>
        </w:rPr>
        <w:t>10</w:t>
      </w:r>
      <w:r w:rsidRPr="00D03F63">
        <w:t xml:space="preserve"> and an increase in C</w:t>
      </w:r>
      <w:r w:rsidRPr="00D03F63">
        <w:rPr>
          <w:vertAlign w:val="subscript"/>
        </w:rPr>
        <w:t xml:space="preserve">17 </w:t>
      </w:r>
      <w:r w:rsidRPr="00D03F63">
        <w:t xml:space="preserve">(Boutoial </w:t>
      </w:r>
      <w:r w:rsidRPr="00D03F63">
        <w:rPr>
          <w:i/>
        </w:rPr>
        <w:t>et al</w:t>
      </w:r>
      <w:r w:rsidRPr="00D03F63">
        <w:t xml:space="preserve"> 2013). The feeding of Sardinian sheep 10g/day dried rosemary leaves increased the total phenolic content, enhanced antioxidant properties and decreased the lipid oxidation in cheese made from their milk (Branciari </w:t>
      </w:r>
      <w:r w:rsidRPr="00D03F63">
        <w:rPr>
          <w:i/>
        </w:rPr>
        <w:t>et al</w:t>
      </w:r>
      <w:r w:rsidRPr="00D03F63">
        <w:t xml:space="preserve">. 2015). In the studies of Chiafalo </w:t>
      </w:r>
      <w:r w:rsidRPr="00D03F63">
        <w:rPr>
          <w:i/>
        </w:rPr>
        <w:t>et al.</w:t>
      </w:r>
      <w:r w:rsidRPr="00D03F63">
        <w:t xml:space="preserve"> (2010), Boutoial </w:t>
      </w:r>
      <w:r w:rsidRPr="00D03F63">
        <w:rPr>
          <w:i/>
        </w:rPr>
        <w:t>et al</w:t>
      </w:r>
      <w:r w:rsidRPr="00D03F63">
        <w:t xml:space="preserve">. (2013) and Branciari </w:t>
      </w:r>
      <w:r w:rsidRPr="00D03F63">
        <w:rPr>
          <w:i/>
        </w:rPr>
        <w:t>et al.</w:t>
      </w:r>
      <w:r w:rsidRPr="00D03F63">
        <w:t xml:space="preserve"> (2015), the milk was not fed to the offspring of the animals, so the effects, if any, on these compositional changes were not assessed. However Martínez (2013), found that supplementing the diet of Segureña ewes with 10% or 20% w/w distilled rosemary leaves throughout gestation and lactation caused a significant increase in the levels of polyunsaturated fatty acids and unsaturated fatty acids, with a concomitant decrease in the percentage of saturated fatty acids in the meat of the lambs at slaughter. These changes were present even though the lambs had no exposure to rosemary leaves from weaning at 13±1 kg to slaughter at 25±2 kg bodyweight (Martínez, 2013).</w:t>
      </w:r>
    </w:p>
    <w:p w14:paraId="109DCD73" w14:textId="25AC8D06" w:rsidR="00D03F63" w:rsidRPr="00D03F63" w:rsidRDefault="0098140A" w:rsidP="005137FA">
      <w:pPr>
        <w:pStyle w:val="Heading3"/>
      </w:pPr>
      <w:bookmarkStart w:id="112" w:name="_Toc517709887"/>
      <w:bookmarkStart w:id="113" w:name="_Toc518388287"/>
      <w:bookmarkStart w:id="114" w:name="_Toc526498376"/>
      <w:r>
        <w:t>3.2.7</w:t>
      </w:r>
      <w:r>
        <w:tab/>
      </w:r>
      <w:r w:rsidR="00D03F63" w:rsidRPr="00D03F63">
        <w:t>Other studies</w:t>
      </w:r>
      <w:bookmarkEnd w:id="112"/>
      <w:bookmarkEnd w:id="113"/>
      <w:bookmarkEnd w:id="114"/>
      <w:r w:rsidR="00D03F63" w:rsidRPr="00D03F63">
        <w:t xml:space="preserve"> </w:t>
      </w:r>
    </w:p>
    <w:p w14:paraId="10DF761E" w14:textId="77777777" w:rsidR="00D03F63" w:rsidRPr="00D03F63" w:rsidRDefault="00D03F63" w:rsidP="00D03F63">
      <w:pPr>
        <w:rPr>
          <w:i/>
        </w:rPr>
      </w:pPr>
      <w:r w:rsidRPr="00D03F63">
        <w:rPr>
          <w:i/>
        </w:rPr>
        <w:t xml:space="preserve">Reproductive and developmental toxicity study of rosemary extract in Wistar rats (Lemonica </w:t>
      </w:r>
      <w:r w:rsidRPr="00D03F63">
        <w:t>et al</w:t>
      </w:r>
      <w:r w:rsidRPr="00D03F63">
        <w:rPr>
          <w:i/>
        </w:rPr>
        <w:t>. 1996) Regulatory status: Non-GLP</w:t>
      </w:r>
    </w:p>
    <w:p w14:paraId="0DE5DA66" w14:textId="77777777" w:rsidR="002E37D2" w:rsidRDefault="002E37D2" w:rsidP="00D03F63"/>
    <w:p w14:paraId="67C31F5C" w14:textId="77777777" w:rsidR="00D03F63" w:rsidRDefault="00D03F63" w:rsidP="00D03F63">
      <w:r w:rsidRPr="00D03F63">
        <w:t xml:space="preserve">The test article for this study was an aqueous extract of leaves, flowers and stems of </w:t>
      </w:r>
      <w:r w:rsidRPr="00D03F63">
        <w:rPr>
          <w:i/>
        </w:rPr>
        <w:t xml:space="preserve">Rosmarinus offinalis. </w:t>
      </w:r>
      <w:r w:rsidRPr="00D03F63">
        <w:t xml:space="preserve">A saline solution of unstated concentration was used as the vehicle and was also the control article. Virgin female Wistar rats were maintained under conditions of controlled temperature and light cycle, and provided with food and water </w:t>
      </w:r>
      <w:r w:rsidRPr="00D03F63">
        <w:rPr>
          <w:i/>
        </w:rPr>
        <w:t>ad libitum</w:t>
      </w:r>
      <w:r w:rsidRPr="00D03F63">
        <w:t xml:space="preserve">. Housing was not specified. The rats were mated overnight, and assigned to groups. Twelve rats were assigned to be dosed with the test article from Gestational Day (GD) 1 to 6, with a control group of 12 assigned to be treated with the control article over the same days. Fourteen rats were assigned to be dosed with the test article from GD 6 to GD 15, with a control group of 11 rats dosed with the control article on the same days. The test article was administered by gavage of 26 mg/day in a volume of 2.0 mL. All rats on study were weighed on GDs 1, 7, 14 and 21. On GD 21, the rats were killed and their uterine horns were removed. Numbers of implantations, resorptions, dead fetuses and live fetuses were recorded. The number of corpora lutea on the ovaries were also recorded. Rates of pre-implantation and post-implantation loss were calculated. Fetuses were weighed and examined for external abnormalities. Half of the fetuses in each litter were preserved for visceral examination and the other half were processed for examination of skeletal development. </w:t>
      </w:r>
    </w:p>
    <w:p w14:paraId="4396EAAF" w14:textId="77777777" w:rsidR="009E7F57" w:rsidRPr="00D03F63" w:rsidRDefault="009E7F57" w:rsidP="00D03F63"/>
    <w:p w14:paraId="0FB60262" w14:textId="77777777" w:rsidR="00D03F63" w:rsidRPr="00D03F63" w:rsidRDefault="00D03F63" w:rsidP="00D03F63">
      <w:r w:rsidRPr="00D03F63">
        <w:t xml:space="preserve">The pregnant dams had no clinical signs of toxicity and maternal weight gain was unaffected by treatment. There were no significant differences between treated rats and controls in number of implantation sites, number of resorptions or number of live fetuses/litter. Fetuses of treated dams had bodyweights comparable to those of fetuses from control dams, and there were no treatment-related effects on fetal development. The rate of postimplantation loss in dams treated from GD1 to GD6 was similar to that of controls gavaged with saline on the same days, but the rate of preimplantation loss was higher in the treated dams (8.5% compared to the control value of 4.0%). However, this difference was not statistically significant. There were no statistically significant differences in any parameter when dams treated from GD 6 to GD15 were compared to control rats dosed with saline on the same days. Post-implantation loss in this group was 8.7%, compared to 6.2% in controls. </w:t>
      </w:r>
    </w:p>
    <w:p w14:paraId="54863607" w14:textId="77777777" w:rsidR="00D03F63" w:rsidRPr="00D03F63" w:rsidRDefault="00D03F63" w:rsidP="00D03F63">
      <w:r w:rsidRPr="00D03F63">
        <w:t xml:space="preserve">The authors concluded that aqueous rosemary extract had no adverse effects after implantation, but may have interfered with implantation. They cited evidence that extracts of rosemary may have an anti-gonadotrophic effect in rats, and also cited evidence that a tea prepared with rosemary and another plant has been used for fertility control in some cultures. </w:t>
      </w:r>
    </w:p>
    <w:p w14:paraId="3BD38EDF" w14:textId="77777777" w:rsidR="00D03F63" w:rsidRDefault="00D03F63" w:rsidP="00D03F63">
      <w:r w:rsidRPr="00D03F63">
        <w:t xml:space="preserve">FSANZ does not consider that this study is relevant to assessment of the safety of ethanolic or acetone extract of rosemary, because it would be expected that different fractions of the plant would extract into water. </w:t>
      </w:r>
    </w:p>
    <w:p w14:paraId="3E1CE32B" w14:textId="77777777" w:rsidR="009E7F57" w:rsidRPr="00D03F63" w:rsidRDefault="009E7F57" w:rsidP="00D03F63"/>
    <w:p w14:paraId="7543C082" w14:textId="0CB277B9" w:rsidR="00D03F63" w:rsidRDefault="00D03F63" w:rsidP="00D03F63">
      <w:pPr>
        <w:rPr>
          <w:i/>
        </w:rPr>
      </w:pPr>
      <w:r w:rsidRPr="00D03F63">
        <w:rPr>
          <w:i/>
        </w:rPr>
        <w:lastRenderedPageBreak/>
        <w:t xml:space="preserve">Sixty-three day oral gavage study of rosemary extract in Sprague-Dawley rats (Nusier </w:t>
      </w:r>
      <w:r w:rsidRPr="00D03F63">
        <w:t>et al</w:t>
      </w:r>
      <w:r w:rsidRPr="00D03F63">
        <w:rPr>
          <w:i/>
        </w:rPr>
        <w:t>. 2007). Regulatory status: Non-GLP</w:t>
      </w:r>
    </w:p>
    <w:p w14:paraId="35A7ABA8" w14:textId="77777777" w:rsidR="00874070" w:rsidRPr="00D03F63" w:rsidRDefault="00874070" w:rsidP="00D03F63">
      <w:pPr>
        <w:rPr>
          <w:i/>
        </w:rPr>
      </w:pPr>
    </w:p>
    <w:p w14:paraId="433D3DE7" w14:textId="77777777" w:rsidR="00D03F63" w:rsidRPr="00D03F63" w:rsidRDefault="00D03F63" w:rsidP="00D03F63">
      <w:r w:rsidRPr="00D03F63">
        <w:t xml:space="preserve">Test article for this study was extracted from fresh rosemary leaves harvested by the authors. The leaves were dried and ground, and then refluxed in 70% ethanol at 60 to 70ºC for 36 hours. The filtered ethanol extract was concentrated by evaporation, weighed and then dissolved in distilled water for administration. Test subjects were adult Sprague Dawley rats, 30 males and 60 females, maintained under controlled environmental conditions and provided with food and water </w:t>
      </w:r>
      <w:r w:rsidRPr="00D03F63">
        <w:rPr>
          <w:i/>
        </w:rPr>
        <w:t>ad libitum</w:t>
      </w:r>
      <w:r w:rsidRPr="00D03F63">
        <w:t xml:space="preserve">. Rats were assigned to three groups of 10 males and 20 females/group. Male rats were administered 0, 250 or 500 mg/kg bw rosemary extract by oral gavage, daily for 63 days, at a dose volume of 1 mL. Female rats were brought into oestrus by oestradiol injection and two females were housed with each male for 10 days, a duration that should have included two oestrus cycles. The paper does not make it clear when the females were placed in with the males, relative to the initiation of dosing of the males. One week after the males and females were separated, females were killed and subject to partial necropsy to determine the numbers of pregnancies, implantation sites, viable fetuses and fetal resorptions. The males were killed after 63 days of treatment with rosemary extract, following collection of blood for measurement of serum glucose, cholesterol, triglycerides, bilirubin, AST, ALT, testosterone, FSH and LH. Bodyweights and weights of paired testes, seminal vesicles and preputial glands were measured. Sperm motility and sperm count were assessed using preparations from a cauda epididymis of each rat. The testes, epididymides, accessory sex glands and  vasa deferentia were fixed in Bouin’s fixative for microscopic examination, which included measurement of diameter of 100 seminiferous tubules, the size of 800 Leydig cell nuclei, and the height in 360 epithelial cells in each of caput epididymis, cauda epididymis and seminal vesicle from each rat. In testis sections from 10 rats/group, counts were made of spermatogonia, spermatocytes, spermatids, and interstitial cell types. </w:t>
      </w:r>
    </w:p>
    <w:p w14:paraId="4797840D" w14:textId="77777777" w:rsidR="002E37D2" w:rsidRDefault="002E37D2" w:rsidP="00D03F63"/>
    <w:p w14:paraId="1F7C985E" w14:textId="66E0A6E0" w:rsidR="00D03F63" w:rsidRPr="00D03F63" w:rsidRDefault="00D03F63" w:rsidP="00D03F63">
      <w:r w:rsidRPr="00D03F63">
        <w:t xml:space="preserve">Daily oral gavage with up to 500 mg/kg bw/day rosemary extract had no effect on bodyweight or bodyweight gain. The group mean weights of testes, epididymides, seminal vesicles, ventral prostates and vasa deferentia of the 500 mg/kg bw/day rats, but not the 250 mg/kg bw/day rats, were significantly lower than those of control rats. Other values that were significantly lower in 500 mg/kg bw/day males, when compared to controls, were sperm motility, sperm density, seminiferous tubule diameter, Leydig cell nuclear diameter, and epithelial cell height in all three areas examined. The same group had significantly lower group mean counts of spermatogonia, primary spermatocytes, secondary spermatocytes, spermatids, and interstitial cells including fibroblasts, immature Leydig cells, mature Leydig cells, and degenerating cells, compared to controls. Group mean values for glucose, cholesterol, triglycerides, bilirubin, AST and ALT were similar between control and treated rats, but males in the 500 mg/kg bw/day group had significantly lower group mean testosterone, FSH and LH than control males. Female rats bred with males in the 500 mg/kg bw/day rosemary extract group had lower group mean values for implantation sites and viable fetuses in females mated to control males, and a higher ratio of resorptions to total implantations. The authors concluded that rosemary extract decreased fertility in male rats, and suggested that the observed effects on various parts of the male reproductive system are mediated through decreased androgen levels. </w:t>
      </w:r>
    </w:p>
    <w:p w14:paraId="536EC580" w14:textId="77777777" w:rsidR="00C54972" w:rsidRPr="00D03F63" w:rsidRDefault="00C54972" w:rsidP="00D03F63"/>
    <w:p w14:paraId="09EE12A3" w14:textId="6676B24F" w:rsidR="00D03F63" w:rsidRDefault="00D03F63" w:rsidP="00D03F63">
      <w:r w:rsidRPr="00D03F63">
        <w:t>FSANZ does not consider this study relevant to the current application</w:t>
      </w:r>
      <w:r w:rsidR="00585ED3">
        <w:t>. The</w:t>
      </w:r>
      <w:r w:rsidRPr="00D03F63">
        <w:t xml:space="preserve"> study used an extract that was soluble in water, whereas commercial rosemary extract is </w:t>
      </w:r>
      <w:r w:rsidR="00585ED3">
        <w:t>in</w:t>
      </w:r>
      <w:r w:rsidRPr="00D03F63">
        <w:t>soluble in water</w:t>
      </w:r>
      <w:r w:rsidR="00495378">
        <w:t xml:space="preserve">. </w:t>
      </w:r>
    </w:p>
    <w:p w14:paraId="0D4DAB71" w14:textId="77777777" w:rsidR="009E7F57" w:rsidRPr="00D03F63" w:rsidRDefault="009E7F57" w:rsidP="00D03F63"/>
    <w:p w14:paraId="77B6D8AD" w14:textId="27C5DED4" w:rsidR="00D03F63" w:rsidRDefault="00D03F63" w:rsidP="00D03F63">
      <w:pPr>
        <w:rPr>
          <w:i/>
        </w:rPr>
      </w:pPr>
      <w:r w:rsidRPr="00D03F63">
        <w:rPr>
          <w:i/>
        </w:rPr>
        <w:t xml:space="preserve">Investigation of the diuretic effects of aqueous extract of rosemary on Wistar rats (Haloui </w:t>
      </w:r>
      <w:r w:rsidRPr="00D03F63">
        <w:t>et al.</w:t>
      </w:r>
      <w:r w:rsidRPr="00D03F63">
        <w:rPr>
          <w:i/>
        </w:rPr>
        <w:t xml:space="preserve"> 2000). Regulatory status: Non-GLP  </w:t>
      </w:r>
    </w:p>
    <w:p w14:paraId="6D02424E" w14:textId="77777777" w:rsidR="00874070" w:rsidRPr="00D03F63" w:rsidRDefault="00874070" w:rsidP="00D03F63">
      <w:pPr>
        <w:rPr>
          <w:i/>
        </w:rPr>
      </w:pPr>
    </w:p>
    <w:p w14:paraId="3CA361C1" w14:textId="77777777" w:rsidR="00D03F63" w:rsidRDefault="00D03F63" w:rsidP="00D03F63">
      <w:r w:rsidRPr="00D03F63">
        <w:t xml:space="preserve">Rosemary is used as a folk remedy for urinary disorders in Morocco, where this study was conducted, and the study was designed to investigate the claimed diuretic properties of </w:t>
      </w:r>
      <w:r w:rsidRPr="00D03F63">
        <w:lastRenderedPageBreak/>
        <w:t xml:space="preserve">rosemary. The method of preparation of the test article, boiling dried plant material in water, allowing it to stand and filtering, reflected the procedure used to prepare the folk remedy. The test subjects for the study were adult male Wistar rats weighing 280-300 g. Rats had </w:t>
      </w:r>
      <w:r w:rsidRPr="00D03F63">
        <w:rPr>
          <w:i/>
        </w:rPr>
        <w:t>ad libitum</w:t>
      </w:r>
      <w:r w:rsidRPr="00D03F63">
        <w:t xml:space="preserve"> access to food and water, and were maintained under a 12 hour light/dark cycle. They were assigned to groups of at least 5 rats/group and dosed daily for one week by oral gavage with 0%, 8% or 16% v/v rosemary extract in distilled water, at a dose volume of 10 mL/kg. From immediately after the first dose administration to the end of the in-life phase, rats were housed in individual metabolism cages. Urine was collected daily, and the volume and electrolyte content were measured. Urinary creatinine was measured, and creatinine clearance calculated, on the last day of study. After one week of treatment, rats were anesthetised and blood was collected for measurement of plasma urea, creatinine and electrolytes, and the rats were then killed. </w:t>
      </w:r>
    </w:p>
    <w:p w14:paraId="62E9FB28" w14:textId="77777777" w:rsidR="009E7F57" w:rsidRPr="00D03F63" w:rsidRDefault="009E7F57" w:rsidP="00D03F63"/>
    <w:p w14:paraId="455529C3" w14:textId="77777777" w:rsidR="00D03F63" w:rsidRDefault="00D03F63" w:rsidP="00D03F63">
      <w:r w:rsidRPr="00D03F63">
        <w:t xml:space="preserve">Although statistically significant differences in group mean urine volume, sodium, potassium and chloride, when compared to group mean values of the control group, were observed in the 8% group, they were not observed in the 16% group and are therefore not attributable to rosemary extract. Similarly, a decrease in group mean creatinine clearance in the 8% group, relative to the control group, was not observed in the 16% group and is therefore not related to rosemary extract. Treatment had no effect on plasma urea or potassium, but group mean values for plasma sodium and chloride were significantly lower for the 16% group than for controls. </w:t>
      </w:r>
    </w:p>
    <w:p w14:paraId="6F2FFDD2" w14:textId="77777777" w:rsidR="009E7F57" w:rsidRPr="00D03F63" w:rsidRDefault="009E7F57" w:rsidP="00D03F63"/>
    <w:p w14:paraId="1F295548" w14:textId="683021DC" w:rsidR="00D03F63" w:rsidRPr="00D03F63" w:rsidRDefault="00D03F63" w:rsidP="00D03F63">
      <w:r w:rsidRPr="00D03F63">
        <w:t xml:space="preserve">That authors concluded that aqueous extract of rosemary has a diuretic effect, on the basis of the results from the 8% group, but FSANZ does not agree with this conclusion because the effects were not observed in the 16% group. Furthermore this study is not considered relevant to the safety assessment of ethanolic or </w:t>
      </w:r>
      <w:r w:rsidR="00763BAF">
        <w:t>d</w:t>
      </w:r>
      <w:r w:rsidRPr="00D03F63">
        <w:t xml:space="preserve"> extracts from rosemary, because it is likely that different chemicals would be extracted into water. </w:t>
      </w:r>
    </w:p>
    <w:p w14:paraId="0FB96587" w14:textId="7DE81BF4" w:rsidR="00D03F63" w:rsidRPr="00D03F63" w:rsidRDefault="0098140A" w:rsidP="005137FA">
      <w:pPr>
        <w:pStyle w:val="Heading3"/>
      </w:pPr>
      <w:bookmarkStart w:id="115" w:name="_Toc517709888"/>
      <w:bookmarkStart w:id="116" w:name="_Toc518388288"/>
      <w:bookmarkStart w:id="117" w:name="_Toc526498377"/>
      <w:r>
        <w:t>3.2.8</w:t>
      </w:r>
      <w:r>
        <w:tab/>
      </w:r>
      <w:r w:rsidR="00D03F63" w:rsidRPr="00D03F63">
        <w:t>Human tolerance studies</w:t>
      </w:r>
      <w:bookmarkEnd w:id="115"/>
      <w:bookmarkEnd w:id="116"/>
      <w:bookmarkEnd w:id="117"/>
    </w:p>
    <w:p w14:paraId="5678B2A0" w14:textId="297DB387" w:rsidR="00D03F63" w:rsidRDefault="00D03F63" w:rsidP="00D03F63">
      <w:pPr>
        <w:rPr>
          <w:i/>
        </w:rPr>
      </w:pPr>
      <w:r w:rsidRPr="00D03F63">
        <w:rPr>
          <w:i/>
        </w:rPr>
        <w:t xml:space="preserve">Investigation of the effect of rosemary extract on the absorption of non-haeme iron in human volunteers (Samman </w:t>
      </w:r>
      <w:r w:rsidRPr="00D03F63">
        <w:t>et al.</w:t>
      </w:r>
      <w:r w:rsidRPr="00D03F63">
        <w:rPr>
          <w:i/>
        </w:rPr>
        <w:t xml:space="preserve"> 2001) Regulatory status: Non-GLP</w:t>
      </w:r>
    </w:p>
    <w:p w14:paraId="565CF90A" w14:textId="77777777" w:rsidR="00874070" w:rsidRPr="00D03F63" w:rsidRDefault="00874070" w:rsidP="00D03F63">
      <w:pPr>
        <w:rPr>
          <w:i/>
        </w:rPr>
      </w:pPr>
    </w:p>
    <w:p w14:paraId="6F698202" w14:textId="1AC70838" w:rsidR="00D03F63" w:rsidRPr="00D03F63" w:rsidRDefault="00D03F63" w:rsidP="00D03F63">
      <w:r w:rsidRPr="00D03F63">
        <w:t xml:space="preserve">Volunteers for this study were young women between the ages of 19 and 39. Inclusion criteria were a haemoglobin concentration &gt; 7.0 mmol/L, no medications (other than oral contraceptives) or nutritional supplements during the past 2 months, not pregnant or breastfeeding, and no participation in studies involving radioisotopes or donated blood during the past two months. Fourteen of the volunteers were assigned to the rosemary extract cohort of the study. Study results for the other cohort (green tea) are not summarized here. Background radioactivity of each subject was determined prior to the start of the study. The test article was a commercial rosemary extract comprising 2.16% carnosic acid, 3.45% carnosol and 8.18% rosmarinic acid by weight. The extract was diluted (10% w/vol) with ethanol:water (2:1 v/v) solution. Four mL of diluted extract was added to meat sauce which was part of the test meal. Test meals were extrinsically labelled with either </w:t>
      </w:r>
      <w:r w:rsidRPr="00D03F63">
        <w:rPr>
          <w:vertAlign w:val="superscript"/>
        </w:rPr>
        <w:t>55</w:t>
      </w:r>
      <w:r w:rsidRPr="00D03F63">
        <w:t xml:space="preserve">Fe or </w:t>
      </w:r>
      <w:r w:rsidRPr="00D03F63">
        <w:rPr>
          <w:vertAlign w:val="superscript"/>
        </w:rPr>
        <w:t>59</w:t>
      </w:r>
      <w:r w:rsidRPr="00D03F63">
        <w:t xml:space="preserve">Fe in random order, and absorption was estimated by whole-body retention and isotope activity in the blood 2 weeks after the test meals. Also 2 weeks after the test meals, a reference dose of iron labelled with </w:t>
      </w:r>
      <w:r w:rsidRPr="00D03F63">
        <w:rPr>
          <w:vertAlign w:val="superscript"/>
        </w:rPr>
        <w:t>59</w:t>
      </w:r>
      <w:r w:rsidRPr="00D03F63">
        <w:t xml:space="preserve">Fe was given to each subject and whole-body retention was measured after a further 2 weeks. Each subject consumed a control test meal (meal A) or the same meal with extract added (Meal B), either on the previous or the following day. Meals were provided under supervision and consumed between 0800 and 1000, when subjects had fasted for 12 to 16 h. Subjects consumed each meal twice, on four consecutive mornings in the order ABBA or BAAB. Subjects consumed the meals within 30 minutes, with ultrapure water and with bread to wipe residual sauce from the plate. Subjects were asked to refrain from consuming any food or beverage for 4 h after consuming each meal. Total iron content of the meals was determined by atomic absorption spectroscopy, and nonhaeme iron content </w:t>
      </w:r>
      <w:r w:rsidRPr="00D03F63">
        <w:lastRenderedPageBreak/>
        <w:t xml:space="preserve">was determined by spectrophotometry. Haeme iron content of the meals was calculated as the difference between total and nonhaeme iron content and represented 21% of the total iron content of the meals for the half of the study in which rosemary extract was the test article. Iron absorption was determined two weeks after consumption of the test meals, subjects underwent whole-body counting and haemoglobin, serum ferritin, </w:t>
      </w:r>
      <w:r w:rsidRPr="00D03F63">
        <w:rPr>
          <w:vertAlign w:val="superscript"/>
        </w:rPr>
        <w:t>55</w:t>
      </w:r>
      <w:r w:rsidRPr="00D03F63">
        <w:t xml:space="preserve">Fe and </w:t>
      </w:r>
      <w:r w:rsidRPr="00D03F63">
        <w:rPr>
          <w:vertAlign w:val="superscript"/>
        </w:rPr>
        <w:t>59</w:t>
      </w:r>
      <w:r w:rsidRPr="00D03F63">
        <w:t xml:space="preserve">Fe were measured in fasted blood samples. Iron absorption from a radiolabelled reference dose of ferrosulphate was also determined to correct for interindividual differences in iron absorption, with whole-body counting after a further two weeks. </w:t>
      </w:r>
    </w:p>
    <w:p w14:paraId="60931EC3" w14:textId="77777777" w:rsidR="00C54972" w:rsidRPr="00D03F63" w:rsidRDefault="00C54972" w:rsidP="00D03F63"/>
    <w:p w14:paraId="3DAD776B" w14:textId="77777777" w:rsidR="00D03F63" w:rsidRDefault="00D03F63" w:rsidP="00D03F63">
      <w:r w:rsidRPr="00D03F63">
        <w:t xml:space="preserve">All 14 subjects enrolled in the rosemary extract cohort completed the study. Addition of rosemary extract was found to inhibit non-haeme-iron absorption in 9 of the 14 subjects. The mean absorption of non-haeme iron from Meal B was 6.4 ± 4.7%, in contrast to 7.5 ± 4.0% from Meal A. This is slightly under a 15% decrease in group mean nonhaeme iron absorption, although the standard deviations around the group means were large, and the group sizes were small. </w:t>
      </w:r>
    </w:p>
    <w:p w14:paraId="42CB24E7" w14:textId="77777777" w:rsidR="009E7F57" w:rsidRPr="00D03F63" w:rsidRDefault="009E7F57" w:rsidP="00D03F63"/>
    <w:p w14:paraId="06539461" w14:textId="6CD15133" w:rsidR="00D03F63" w:rsidRDefault="00D03F63" w:rsidP="00D03F63">
      <w:pPr>
        <w:rPr>
          <w:i/>
        </w:rPr>
      </w:pPr>
      <w:r w:rsidRPr="00D03F63">
        <w:rPr>
          <w:i/>
        </w:rPr>
        <w:t xml:space="preserve">Investigation of the effect of rosemary extract on vascular function in human volunteers (Sinkovic </w:t>
      </w:r>
      <w:r w:rsidRPr="00D03F63">
        <w:t>et al.</w:t>
      </w:r>
      <w:r w:rsidRPr="00D03F63">
        <w:rPr>
          <w:i/>
        </w:rPr>
        <w:t xml:space="preserve"> 2011). Regulatory status : non-GLP</w:t>
      </w:r>
    </w:p>
    <w:p w14:paraId="3524F110" w14:textId="77777777" w:rsidR="00874070" w:rsidRPr="00D03F63" w:rsidRDefault="00874070" w:rsidP="00D03F63">
      <w:pPr>
        <w:rPr>
          <w:i/>
        </w:rPr>
      </w:pPr>
    </w:p>
    <w:p w14:paraId="4F6FF446" w14:textId="77777777" w:rsidR="00D03F63" w:rsidRDefault="00D03F63" w:rsidP="00D03F63">
      <w:r w:rsidRPr="00D03F63">
        <w:t xml:space="preserve">Arterial endothelial dysfunction is an early event in atherogenesis. It can be evaluated by ultrasound measurement of flow-mediated dilatation (FMD) in the brachial artery, and by measuring serum markers such as vascular cell adhesion molecule 1 (VCAM-1) and inter-cellular adhesion molecule 1 (ICAM-1). The aim of this study was to evaluate the effect of 21 day oral supplementation with a rosemary extract on FMD and on serum levels of ICAM-1, VCAM-1, serum plasminogen-activator-inhibitor type 1 (PAI-1), high-sensitivity C-reactive protein (hs-CRP), fibrinogen, superoxide dismutase (SOD), glutathione peroxidase (GPX), tumour necrosis factor-α (TNF-α), total cholesterol, LDL-cholesterol, HDL-cholesterol and triglycerides in healthy young volunteers. </w:t>
      </w:r>
    </w:p>
    <w:p w14:paraId="14FB13A0" w14:textId="77777777" w:rsidR="009E7F57" w:rsidRPr="00D03F63" w:rsidRDefault="009E7F57" w:rsidP="00D03F63"/>
    <w:p w14:paraId="7F2C8DB4" w14:textId="77777777" w:rsidR="00D03F63" w:rsidRDefault="00D03F63" w:rsidP="00D03F63">
      <w:r w:rsidRPr="00D03F63">
        <w:t xml:space="preserve">The test article for this study was rosemary extract which was administered for 21 consecutive days at a daily dose of 77.7 mg, equal to 0.97 mg carnosol, 8.6 mg carnosic acid and 10.30 mg rosmarinic acid. The test subjects were 19 healthy young volunteers; 7 men and 12 women with a mean age of 34.3 ± 7.7 years. Eight were smokers and three had a family history of symptomatic atherosclerosis. Inclusion criteria were being over 18 years of age, written informed consent and for women, a negative urine-β-HCG test. Exclusion criteria were any known chronic, malignant disease, use of any medication, pregnancy, breast-feeding and simultaneous participation in another clinical study. From one week prior to start of rosemary extract consumption to the end of the study, participants were asked to discontinue use of antioxidant supplements, vitamins and alcohol, and they were asked to consume, throughout the study, a well-balanced diet with approximately 30% proteins, 60% carbohydrates and 10% fat, with at least one daily serving of meat but not more than two apples. One week prior to the start of rosemary extract consumption, volunteers underwent clinical examination including recording of pulse, blood pressure and an electrocardiograph (ECG). One week later (Day 7 of study), blood pressure and pulse were again recorded, FMD was measured in the brachial artery, using vascular ultrasound, and fasting blood samples were collected for measurement of serum levels of ICAM-1, VCAM-1, PAI-1, fibrinogen, SOD, GPX, hs-CRP, TNF-α, total cholesterol, LDL-cholesterol, HDL-cholesterol and triglycerides. On day 7, volunteers commenced taking a daily dose of rosemary extract. Subjects were interviewed on study days 14, 21 and 28 to determine if they experienced any side effects. On day 28, further blood samples were drawn and FMD in the brachial artery was measured again. FMD was defined as the endothelium-dependent dilatation of the brachial artery in response to reactive hyperaemia, and was expressed as a percentage change in diameter relative to the baseline scan. Arterial diameter was measured three times, at the end of diastole through three cardiac cycles, and the results averaged. FMD values of less than 4.5% were defined as endothelial dysfunction. </w:t>
      </w:r>
    </w:p>
    <w:p w14:paraId="6B453583" w14:textId="77777777" w:rsidR="009E7F57" w:rsidRPr="00D03F63" w:rsidRDefault="009E7F57" w:rsidP="00D03F63"/>
    <w:p w14:paraId="5922DDFF" w14:textId="77777777" w:rsidR="00D03F63" w:rsidRDefault="00D03F63" w:rsidP="00D03F63">
      <w:r w:rsidRPr="00D03F63">
        <w:t xml:space="preserve">The rate of endothelial dysfunction decreased significantly as a result of treatment with rosemary extract from a group mean of 68.4% to 15.5% (p = 0.0038). Mean PAI-1 level decreased significantly, from a group mean baseline value of 4.4 ± 1.3 U/ml to 3.3 ±0.7 U/mL (25% decrease; p = 0.0025). Group mean levels of FMD increased from 3.76% to 6.7% (78% increase, p value not reported) and those of PAI-1 decreased from 4.9 U/mL to 3.3 U/mL (33% decrease; p value not reported). FMD increased but the difference was not statistically significant. Consumption of rosemary extract was not associated with significant changes in serum lipid profile or on group mean serum levels of SOD, ICAM-1, VCAM-1, GPX, hs-CRP, TNF-α or fibrinogen. The authors noted that the baseline values for these parameters were within normal limits in all subjects. </w:t>
      </w:r>
    </w:p>
    <w:p w14:paraId="29AB5FC5" w14:textId="77777777" w:rsidR="00BE2EF2" w:rsidRPr="00D03F63" w:rsidRDefault="00BE2EF2" w:rsidP="00D03F63"/>
    <w:p w14:paraId="2E85E421" w14:textId="5210940B" w:rsidR="00D03F63" w:rsidRDefault="00D03F63" w:rsidP="00D03F63">
      <w:r w:rsidRPr="00D03F63">
        <w:t>This study was not designed as a tolerance study and only one dose of 77.7 mg/day rosemary extract was used, with no adjustment for bodyweight. However it is noted that there were no adverse effects associated with this dose of rosemary extract</w:t>
      </w:r>
      <w:r w:rsidR="00495378">
        <w:t xml:space="preserve">. </w:t>
      </w:r>
    </w:p>
    <w:p w14:paraId="618D9E7A" w14:textId="77777777" w:rsidR="00BE2EF2" w:rsidRPr="00D03F63" w:rsidRDefault="00BE2EF2" w:rsidP="00D03F63"/>
    <w:p w14:paraId="11059C05" w14:textId="10DE0D11" w:rsidR="00D03F63" w:rsidRPr="00D03F63" w:rsidRDefault="00D03F63" w:rsidP="00D03F63">
      <w:r w:rsidRPr="00D03F63">
        <w:t xml:space="preserve">FSANZ notes that the rosemary plant has a long history of human use as a culinary herb and as a folk medicine (Ulbricht </w:t>
      </w:r>
      <w:r w:rsidRPr="00D03F63">
        <w:rPr>
          <w:i/>
        </w:rPr>
        <w:t>et al</w:t>
      </w:r>
      <w:r w:rsidRPr="00D03F63">
        <w:t xml:space="preserve"> 2010; Begum </w:t>
      </w:r>
      <w:r w:rsidRPr="00D03F63">
        <w:rPr>
          <w:i/>
        </w:rPr>
        <w:t>et al</w:t>
      </w:r>
      <w:r w:rsidRPr="00D03F63">
        <w:t xml:space="preserve"> 2013; Ribeiro-Santos </w:t>
      </w:r>
      <w:r w:rsidRPr="00D03F63">
        <w:rPr>
          <w:i/>
        </w:rPr>
        <w:t>et al</w:t>
      </w:r>
      <w:r w:rsidRPr="00D03F63">
        <w:t xml:space="preserve"> 2015; WHO 2017)</w:t>
      </w:r>
      <w:r w:rsidR="00495378">
        <w:t xml:space="preserve">. </w:t>
      </w:r>
    </w:p>
    <w:p w14:paraId="1F3F1C4C" w14:textId="55A6D10C" w:rsidR="00D03F63" w:rsidRPr="00D03F63" w:rsidRDefault="0098140A" w:rsidP="00DF662D">
      <w:pPr>
        <w:pStyle w:val="Heading2"/>
      </w:pPr>
      <w:bookmarkStart w:id="118" w:name="_Toc513219014"/>
      <w:bookmarkStart w:id="119" w:name="_Toc517709889"/>
      <w:bookmarkStart w:id="120" w:name="_Toc518388289"/>
      <w:bookmarkStart w:id="121" w:name="_Toc526498378"/>
      <w:r>
        <w:t>3.3</w:t>
      </w:r>
      <w:r>
        <w:tab/>
      </w:r>
      <w:r w:rsidR="00D03F63" w:rsidRPr="00D03F63">
        <w:t>Assessments by other regulatory agencies</w:t>
      </w:r>
      <w:bookmarkEnd w:id="118"/>
      <w:bookmarkEnd w:id="119"/>
      <w:bookmarkEnd w:id="120"/>
      <w:bookmarkEnd w:id="121"/>
    </w:p>
    <w:p w14:paraId="532D5717" w14:textId="2515CDB9" w:rsidR="00D03F63" w:rsidRPr="00D03F63" w:rsidRDefault="0098140A" w:rsidP="005137FA">
      <w:pPr>
        <w:pStyle w:val="Heading3"/>
      </w:pPr>
      <w:bookmarkStart w:id="122" w:name="_Toc517709890"/>
      <w:bookmarkStart w:id="123" w:name="_Toc518388290"/>
      <w:bookmarkStart w:id="124" w:name="_Toc526498379"/>
      <w:r>
        <w:t>3.3.1</w:t>
      </w:r>
      <w:r>
        <w:tab/>
      </w:r>
      <w:r w:rsidR="00D03F63" w:rsidRPr="00D03F63">
        <w:t>Joint FAO/WHO Expert Committee on Food Additives (JECFA)</w:t>
      </w:r>
      <w:bookmarkEnd w:id="122"/>
      <w:bookmarkEnd w:id="123"/>
      <w:bookmarkEnd w:id="124"/>
    </w:p>
    <w:p w14:paraId="0D72F223" w14:textId="77777777" w:rsidR="00D03F63" w:rsidRDefault="00D03F63" w:rsidP="00D03F63">
      <w:r w:rsidRPr="00D03F63">
        <w:t>JECFA assessed rosemary extract at their 82</w:t>
      </w:r>
      <w:r w:rsidRPr="00D03F63">
        <w:rPr>
          <w:vertAlign w:val="superscript"/>
        </w:rPr>
        <w:t>nd</w:t>
      </w:r>
      <w:r w:rsidRPr="00D03F63">
        <w:t xml:space="preserve"> meeting and published their conclusions in 2017 (WHO 2017). JECFA’s review of the absorption, distribution, metabolism and excretion of rosemary extract was limited to </w:t>
      </w:r>
      <w:r w:rsidRPr="00D03F63">
        <w:rPr>
          <w:i/>
        </w:rPr>
        <w:t>in vitro</w:t>
      </w:r>
      <w:r w:rsidRPr="00D03F63">
        <w:t xml:space="preserve"> studies and studies in laboratory rodents, and they did not consider the data from studies in sheep or goats. On the other hand, JECFA reviewed a number of unpublished toxicology studies that are not available to FSANZ, including a number of genotoxicity assays, most of which were </w:t>
      </w:r>
      <w:r w:rsidRPr="00D03F63">
        <w:rPr>
          <w:i/>
        </w:rPr>
        <w:t>in vitro</w:t>
      </w:r>
      <w:r w:rsidRPr="00D03F63">
        <w:t xml:space="preserve">, and a number of short-term and subchronic toxicity studies in laboratory rats. JECFA reviewed the study of male reproductive toxicity by Nusier </w:t>
      </w:r>
      <w:r w:rsidRPr="00D03F63">
        <w:rPr>
          <w:i/>
        </w:rPr>
        <w:t>et al</w:t>
      </w:r>
      <w:r w:rsidRPr="00D03F63">
        <w:t xml:space="preserve">. (2007) also reviewed by FSANZ, but rejected it from consideration because of the inclusion of water at 30% in the extraction solvent, which may have altered in the unstated composition of the extract, and because no similar lesions were observed in the male reproductive tract in the unpublished subchronic studies in rats, which were of longer duration. JECFA also rejected the Lemonica </w:t>
      </w:r>
      <w:r w:rsidRPr="00D03F63">
        <w:rPr>
          <w:i/>
        </w:rPr>
        <w:t>et al</w:t>
      </w:r>
      <w:r w:rsidRPr="00D03F63">
        <w:t xml:space="preserve">. (1996) study because the test article was an aqueous extract. </w:t>
      </w:r>
    </w:p>
    <w:p w14:paraId="0DBFE7F5" w14:textId="77777777" w:rsidR="00BE2EF2" w:rsidRPr="00D03F63" w:rsidRDefault="00BE2EF2" w:rsidP="00D03F63"/>
    <w:p w14:paraId="1632612C" w14:textId="7D0E2254" w:rsidR="00D03F63" w:rsidRPr="00D03F63" w:rsidRDefault="00D03F63" w:rsidP="00D03F63">
      <w:r w:rsidRPr="00D03F63">
        <w:t xml:space="preserve">JECFA established a temporary </w:t>
      </w:r>
      <w:r w:rsidR="00A36323">
        <w:t>a</w:t>
      </w:r>
      <w:r w:rsidR="00146D1F">
        <w:t xml:space="preserve">cceptable </w:t>
      </w:r>
      <w:r w:rsidR="00A36323">
        <w:t>d</w:t>
      </w:r>
      <w:r w:rsidR="00146D1F">
        <w:t xml:space="preserve">aily </w:t>
      </w:r>
      <w:r w:rsidR="00A36323">
        <w:t>i</w:t>
      </w:r>
      <w:r w:rsidR="00146D1F">
        <w:t>ntake (</w:t>
      </w:r>
      <w:r w:rsidRPr="00D03F63">
        <w:t>ADI</w:t>
      </w:r>
      <w:r w:rsidR="00146D1F">
        <w:t>)</w:t>
      </w:r>
      <w:r w:rsidR="00BA51A2">
        <w:t xml:space="preserve"> </w:t>
      </w:r>
      <w:r w:rsidRPr="00D03F63">
        <w:t xml:space="preserve">of 0 - 0.3 mg/kg bw for rosemary extract, expressed as the sum of carnosic acid and carnosol. This ADI was based on a NOAEL of 64 mg/kg bw/day, expressed as carnosic acid plus carnosol, in an unpublished 90-day toxicity study in rats, with application of a 200-fold safety factor. The overall safety factor of 200 includes a factor of </w:t>
      </w:r>
      <w:r w:rsidR="00BA51A2">
        <w:t>two</w:t>
      </w:r>
      <w:r w:rsidRPr="00D03F63">
        <w:t xml:space="preserve"> to reflect the temporary designation of the ADI. The ADI is temporary pending the submission of data concerning the reproductive and developmental safety of rosemary extract, and will be withdrawn if such data are not provided by the end of 2018. A safety factor to reflect the lack of a chronic study was not considered necessary, because of the lack of adverse effects in short-term studies at the highest doses tested</w:t>
      </w:r>
      <w:r w:rsidR="00495378">
        <w:t xml:space="preserve">. </w:t>
      </w:r>
    </w:p>
    <w:p w14:paraId="25C68D2F" w14:textId="249EDBB3" w:rsidR="00D03F63" w:rsidRPr="00D03F63" w:rsidRDefault="0098140A" w:rsidP="005137FA">
      <w:pPr>
        <w:pStyle w:val="Heading3"/>
      </w:pPr>
      <w:bookmarkStart w:id="125" w:name="_Toc517709891"/>
      <w:bookmarkStart w:id="126" w:name="_Toc518388291"/>
      <w:bookmarkStart w:id="127" w:name="_Toc526498380"/>
      <w:r>
        <w:t>3.3.2</w:t>
      </w:r>
      <w:r>
        <w:tab/>
      </w:r>
      <w:r w:rsidR="00D03F63" w:rsidRPr="00D03F63">
        <w:t>European Food Safety Authority (EFSA)</w:t>
      </w:r>
      <w:bookmarkEnd w:id="125"/>
      <w:bookmarkEnd w:id="126"/>
      <w:bookmarkEnd w:id="127"/>
    </w:p>
    <w:p w14:paraId="4D230064" w14:textId="77777777" w:rsidR="00D03F63" w:rsidRDefault="00D03F63" w:rsidP="00D03F63">
      <w:r w:rsidRPr="00D03F63">
        <w:t xml:space="preserve">EFSA published a Scientific Opinion on the use of rosemary extracts as a food additive in 2008 (EFSA 2008). The extracts considered included two ethanolic extracts, an extract prepared using supercritical carbon dioxide, and an extract prepared using a two-step process involving hexane and ethanol. The principal antioxidants in all these extracts are </w:t>
      </w:r>
      <w:r w:rsidRPr="00D03F63">
        <w:lastRenderedPageBreak/>
        <w:t>carnosol and carnosic acid. EFSA concluded that rosemary extracts are not genotoxic, and have low acute and subchronic toxicity in the laboratory rat. A slight, reversible treatment-related increase in relative liver weight in rats in subchronic studies, with no corresponding increase in plasma liver enzymes but with corresponding minimal centrilobular hypertrophy and microsomal enzyme induction, was identified as an adaptive response rather than an adverse effect. The NOAELs of the 90-day studies in rats were in the range 180 to 400 mg extract/kg bw/day, corresponding to combined intake of carnosic acid and carnosol of 20 to 60 mg/kg bw/day. The studies EFSA describes are not referenced but were conducted under GLP, and were submitted by the petitioner, so it appears that they are unpublished study reports. However it is not possible to determine from the information given whether they are the same study reports as those assessed by JECFA. EFSA did not establish a numerical ADI because of the lack of data on reproductive toxicity or chronic toxicity. However EFSA commented that the data they reviewed did not give reason for concern, particularly in light of the negative results on genotoxicity assays and the absence of effects on reproductive organs in the rat subchronic studies. EFSA also noted that the margins between the NOAEL range from the rat subchronic studies and the dietary exposure estimates for European consumers were sufficiently large that EFSA could conclude that dietary exposure was not of safety concern (EFSA 2008).</w:t>
      </w:r>
    </w:p>
    <w:p w14:paraId="52D2DEA2" w14:textId="77777777" w:rsidR="00BE2EF2" w:rsidRPr="00D03F63" w:rsidRDefault="00BE2EF2" w:rsidP="00D03F63"/>
    <w:p w14:paraId="7EB3D2AD" w14:textId="519FCC68" w:rsidR="00D03F63" w:rsidRPr="00D03F63" w:rsidRDefault="00D03F63" w:rsidP="00D03F63">
      <w:r w:rsidRPr="00D03F63">
        <w:t>In 2015, EFSA conducted a refined exposure assessment of rosemary extract in response to a proposed extension of use of rosemary extracts (E392) in fat-based spreads. The Panel concluded that the proposed extension would not result in a significant change to the exposure estimate completed in 2008, and that the conclusions regarding safety that were made in 2008 remained valid. Therefore the Panel considered that it was unlikely that there was any safety concern associated with the extension of use (EFSA 2015)</w:t>
      </w:r>
      <w:r w:rsidR="00495378">
        <w:t xml:space="preserve">. </w:t>
      </w:r>
    </w:p>
    <w:p w14:paraId="53A63148" w14:textId="0AB7ED61" w:rsidR="00D03F63" w:rsidRPr="00D03F63" w:rsidRDefault="0098140A" w:rsidP="00DF662D">
      <w:pPr>
        <w:pStyle w:val="Heading2"/>
      </w:pPr>
      <w:bookmarkStart w:id="128" w:name="_Toc513219015"/>
      <w:bookmarkStart w:id="129" w:name="_Toc517709892"/>
      <w:bookmarkStart w:id="130" w:name="_Toc518388292"/>
      <w:bookmarkStart w:id="131" w:name="_Toc526498381"/>
      <w:r>
        <w:t>3.4</w:t>
      </w:r>
      <w:r>
        <w:tab/>
      </w:r>
      <w:r w:rsidR="00D03F63" w:rsidRPr="00D03F63">
        <w:t>Conclusion</w:t>
      </w:r>
      <w:bookmarkEnd w:id="128"/>
      <w:bookmarkEnd w:id="129"/>
      <w:bookmarkEnd w:id="130"/>
      <w:bookmarkEnd w:id="131"/>
    </w:p>
    <w:p w14:paraId="29BD6981" w14:textId="77777777" w:rsidR="00D03F63" w:rsidRDefault="00D03F63" w:rsidP="00D03F63">
      <w:r w:rsidRPr="00D03F63">
        <w:t xml:space="preserve">The submitted data, together with the recent assessment by JECFA (WHO 2017) are considered suitable to assess the hazard of rosemary extract. </w:t>
      </w:r>
    </w:p>
    <w:p w14:paraId="6285453D" w14:textId="77777777" w:rsidR="00BE2EF2" w:rsidRPr="00D03F63" w:rsidRDefault="00BE2EF2" w:rsidP="00D03F63"/>
    <w:p w14:paraId="2DBE2B06" w14:textId="577FADE8" w:rsidR="00D03F63" w:rsidRDefault="00D03F63" w:rsidP="00D03F63">
      <w:r w:rsidRPr="00D03F63">
        <w:t>There have been several studies on the kinetics and metabolism of carnosic acid and other constituents of rosemary extract in laboratory rodents, although the value of most of the studies is compromised by the removal of excessive amounts of blood. Oral bioavailability of carnosic acid is estimated to be ≥ 65%. Time to maximum plasma concentration of carnosic acid following oral administration (T</w:t>
      </w:r>
      <w:r w:rsidRPr="00D03F63">
        <w:rPr>
          <w:vertAlign w:val="subscript"/>
        </w:rPr>
        <w:t>max</w:t>
      </w:r>
      <w:r w:rsidRPr="00D03F63">
        <w:t>) following oral gavage, with water as the vehicle, is short, between 20 and 40 min. There is relatively little information on the distribution of rosemary extract, carnosic acid or carnosol in rodents, and data on clearance from plasma are inconsistent</w:t>
      </w:r>
      <w:r w:rsidR="00495378">
        <w:t xml:space="preserve">. </w:t>
      </w:r>
      <w:r w:rsidRPr="00D03F63">
        <w:t>Oxidation, glucuronidation and methylation are the major pathways of metabolism, and a wide range of metabolites have been detected. Metabolites are found in both urine and faeces</w:t>
      </w:r>
      <w:r w:rsidR="00495378">
        <w:t xml:space="preserve">. </w:t>
      </w:r>
    </w:p>
    <w:p w14:paraId="7385544D" w14:textId="77777777" w:rsidR="00D03F63" w:rsidRPr="00D03F63" w:rsidRDefault="00D03F63" w:rsidP="00D03F63"/>
    <w:p w14:paraId="5D0006FB" w14:textId="77777777" w:rsidR="00D03F63" w:rsidRDefault="00D03F63" w:rsidP="00D03F63">
      <w:r w:rsidRPr="00D03F63">
        <w:t>The feeding of rosemary extract to lambs has been shown to lead to the presence of rosemary diterpenes and metabolites in their muscles. Persistence of carnosic acid, carnosol and rosmarinic acid in the muscles of lambs has also been reported for approximately 50 days after they were weaned from ewes that were fed rosemary leaves throughout pregnancy and lactation. It is not clear whether these substances cross the placenta, but excretion of rosemary compounds in milk has been demonstrated in ewes and goats. As a storage compartment for these compounds, muscle appears to be saturable, and no adverse effects were observed in the lambs.</w:t>
      </w:r>
    </w:p>
    <w:p w14:paraId="6518B282" w14:textId="77777777" w:rsidR="00D03F63" w:rsidRPr="00D03F63" w:rsidRDefault="00D03F63" w:rsidP="00D03F63"/>
    <w:p w14:paraId="7F851192" w14:textId="77777777" w:rsidR="00D03F63" w:rsidRDefault="00D03F63" w:rsidP="00D03F63">
      <w:r w:rsidRPr="00D03F63">
        <w:t xml:space="preserve">Exposure to rosemary extract has been found to result in reversible upregulation of some hepatic microsomal cytochrome P450 enzymes, but there is a lack of evidence of adverse effects of this upregulation. </w:t>
      </w:r>
    </w:p>
    <w:p w14:paraId="2F0000E8" w14:textId="77777777" w:rsidR="00D03F63" w:rsidRPr="00D03F63" w:rsidRDefault="00D03F63" w:rsidP="00D03F63"/>
    <w:p w14:paraId="2E2F894B" w14:textId="1B0371B3" w:rsidR="00D03F63" w:rsidRDefault="00D03F63" w:rsidP="00D03F63">
      <w:r w:rsidRPr="00D03F63">
        <w:lastRenderedPageBreak/>
        <w:t xml:space="preserve">The acute toxicity of carnosic acid in the mouse is low, estimated at 7100 mg/kg bw (Wang et al. 2010). An acute toxicity study of rosemary extract in rats did not identify any adverse effects at a dose of 2,000 mg/kg bw (Anadón et al. 2008). </w:t>
      </w:r>
    </w:p>
    <w:p w14:paraId="70B2C0E2" w14:textId="77777777" w:rsidR="00D03F63" w:rsidRPr="00D03F63" w:rsidRDefault="00D03F63" w:rsidP="00D03F63"/>
    <w:p w14:paraId="149E989D" w14:textId="77777777" w:rsidR="00D03F63" w:rsidRDefault="00D03F63" w:rsidP="00D03F63">
      <w:r w:rsidRPr="00D03F63">
        <w:t xml:space="preserve">JECFA (2017) reviewed a number of unpublished studies of rosemary extract in rats; studies to which FSANZ does not have access. Studies ranged in duration from 14 to 90 days, carnosic acid and carnosol content of the test article ranged from 5 to 33%, and the combined dosage of carnosic acid and carnosol ranged from 3 to 64 mg/kg bw/day. A consistent finding in the 90 day studies was an increase in liver weight in treated animals, associated with centrilobular hypertrophy, changes in hepatocyte cytoplasm consistent with increased glycogen storage, and increased smooth endoplasmic reticulum. In the absence in increases in circulating liver enzymes, JECFA concluded that these were adaptive changes. Slight bile duct hyperplasia in one four-week study was similarly considered non-adverse. The highest NOAEL among the 90-day studies, expressed as carnosic acid plus carnosol, was 64 mg/kg bw/day. </w:t>
      </w:r>
    </w:p>
    <w:p w14:paraId="3378AAC8" w14:textId="77777777" w:rsidR="003C2A11" w:rsidRPr="00D03F63" w:rsidRDefault="003C2A11" w:rsidP="00D03F63"/>
    <w:p w14:paraId="235171EA" w14:textId="77777777" w:rsidR="00D03F63" w:rsidRDefault="00D03F63" w:rsidP="00D03F63">
      <w:r w:rsidRPr="00D03F63">
        <w:t xml:space="preserve">No chronic or carcinogenicity studies of rosemary extract, carnosic acid or carnosol were submitted in the application or located from other sources. No evidence of genotoxicity was found in either of the two genotoxicity assays to which FSANZ has access, and this finding is consistent with the conclusions of JECFA (WHO 2017) who had access to a number of genotoxicity assays of rosemary extract. </w:t>
      </w:r>
    </w:p>
    <w:p w14:paraId="068BDE4D" w14:textId="479F0300" w:rsidR="00D03F63" w:rsidRPr="00D03F63" w:rsidRDefault="00D03F63" w:rsidP="00D03F63"/>
    <w:p w14:paraId="7AB75021" w14:textId="2266C733" w:rsidR="005137FA" w:rsidRPr="005137FA" w:rsidRDefault="005137FA" w:rsidP="005137FA">
      <w:r w:rsidRPr="00DB3573">
        <w:t xml:space="preserve">Following the Call for Submissions, the Applicant provided FSANZ with a draft final report of a reproductive and development toxicity screening study in rats using rosemary extract conducted according to OECD 421 test guideline . The NOAEL for reproductive parameters of parental (P) generation, and the NOAEL for maternal toxicity, was the highest dose tested, equivalent to 316.2 mg/kg bw/day rosemary extract for males and 401.2 mg/kg bw/day rosemary extract for females. When these values are converted to the sum of carnosic acid and carnosol, they are 149.3 mg/kg bw/day for males and 189.4 mg/kg bw/day for females. The NOAEL for offspring toxicity was 166.7 mg/kg bw/day, equivalent to 78.7 mg/kg bw/day carnosic acid and carnosol, on the basis of low group mean serum T4 and </w:t>
      </w:r>
      <w:r w:rsidR="004443D1" w:rsidRPr="00DB3573">
        <w:t>TSH</w:t>
      </w:r>
      <w:r w:rsidRPr="00DB3573">
        <w:t xml:space="preserve"> in pups at higher doses on PND 13.</w:t>
      </w:r>
      <w:r w:rsidRPr="005137FA">
        <w:t xml:space="preserve"> </w:t>
      </w:r>
    </w:p>
    <w:p w14:paraId="5918764B" w14:textId="77777777" w:rsidR="005137FA" w:rsidRDefault="005137FA" w:rsidP="00D03F63"/>
    <w:p w14:paraId="319E54AE" w14:textId="713D55FB" w:rsidR="002E37D2" w:rsidRDefault="00D03F63" w:rsidP="00D03F63">
      <w:r w:rsidRPr="00D03F63">
        <w:t xml:space="preserve">Nusier </w:t>
      </w:r>
      <w:r w:rsidRPr="001C615F">
        <w:t>et al.</w:t>
      </w:r>
      <w:r w:rsidRPr="00D03F63">
        <w:t xml:space="preserve"> (2007) concluded from a 63-day oral gavage study in Sprague-Dawley rats that rosemary extract had adverse effects on spermatogenesis in male rats, but JECFA noted that these findings were inconsistent with findings in the unpublished studies they reviewed, and JECFA also noted that the rats were dosed with material that is soluble in water, whereas the material in commercial rosemary extracts is not soluble in water. Similarly, a study by Lemonica et al. 1996, from which the authors concluded that rosemary extract may interfere with implantation of rat pups, is not likely to be relevant to the current assessment because the extract administered was soluble in water. </w:t>
      </w:r>
    </w:p>
    <w:p w14:paraId="5D475EF4" w14:textId="77777777" w:rsidR="008C3376" w:rsidRDefault="008C3376" w:rsidP="00D03F63"/>
    <w:p w14:paraId="13D14E8A" w14:textId="1F8839D3" w:rsidR="00D03F63" w:rsidRDefault="00D03F63" w:rsidP="00D03F63">
      <w:r w:rsidRPr="00D03F63">
        <w:t xml:space="preserve">Supplementation of the diet of </w:t>
      </w:r>
      <w:r w:rsidR="008C3376">
        <w:t>pregnant and lactating</w:t>
      </w:r>
      <w:r w:rsidRPr="00D03F63">
        <w:t xml:space="preserve"> dairy ewes and goats with rosemary leaves has been shown to alter the composition of their milk (Chiafalo et al. 2010; Boutoial et al 2013), and in one study to decrease the percentage of saturated fatty acids in the meat of their lambs at slaughter (Martínez, 2013)</w:t>
      </w:r>
      <w:r w:rsidR="00BA51A2">
        <w:t>.</w:t>
      </w:r>
      <w:r w:rsidRPr="00D03F63">
        <w:t xml:space="preserve"> </w:t>
      </w:r>
      <w:r w:rsidR="00BA51A2">
        <w:t xml:space="preserve">However, </w:t>
      </w:r>
      <w:r w:rsidRPr="00D03F63">
        <w:t>these changes are not associated with an</w:t>
      </w:r>
      <w:r w:rsidR="003C2A11">
        <w:t>y</w:t>
      </w:r>
      <w:r w:rsidRPr="00D03F63">
        <w:t xml:space="preserve"> adverse effects on weight gain in lambs (Moñino et al. 2008). </w:t>
      </w:r>
    </w:p>
    <w:p w14:paraId="5FBEC5B2" w14:textId="77777777" w:rsidR="00D03F63" w:rsidRPr="00D03F63" w:rsidRDefault="00D03F63" w:rsidP="00D03F63"/>
    <w:p w14:paraId="34B31508" w14:textId="5336E32D" w:rsidR="00D03F63" w:rsidRPr="00D03F63" w:rsidRDefault="00D03F63" w:rsidP="00D03F63">
      <w:r w:rsidRPr="00D03F63">
        <w:t xml:space="preserve">No human health and safety </w:t>
      </w:r>
      <w:r w:rsidR="002E37D2">
        <w:t>concerns</w:t>
      </w:r>
      <w:r w:rsidRPr="00D03F63">
        <w:t xml:space="preserve"> were identified for rosemary extract. There is little information on human tolerance in the scientific literature, but FSANZ notes that the rosemary plant has a long history of human use as a culinary herb and as a folk medicine (Ulbricht </w:t>
      </w:r>
      <w:r w:rsidRPr="00D03F63">
        <w:rPr>
          <w:i/>
        </w:rPr>
        <w:t>et a</w:t>
      </w:r>
      <w:r w:rsidRPr="00D03F63">
        <w:t xml:space="preserve">l. 2010; Begum </w:t>
      </w:r>
      <w:r w:rsidRPr="00D03F63">
        <w:rPr>
          <w:i/>
        </w:rPr>
        <w:t>et al</w:t>
      </w:r>
      <w:r w:rsidRPr="00D03F63">
        <w:t xml:space="preserve">. 2013; Ribeiro-Santos </w:t>
      </w:r>
      <w:r w:rsidRPr="00D03F63">
        <w:rPr>
          <w:i/>
        </w:rPr>
        <w:t>et al</w:t>
      </w:r>
      <w:r w:rsidRPr="00D03F63">
        <w:t xml:space="preserve">. 2015; WHO 2017). Sinkovic </w:t>
      </w:r>
      <w:r w:rsidRPr="00D03F63">
        <w:rPr>
          <w:i/>
        </w:rPr>
        <w:t>et al</w:t>
      </w:r>
      <w:r w:rsidRPr="00D03F63">
        <w:t xml:space="preserve">. 2011 identified no adverse effects of administration for 21 consecutive days of 77.7 mg rosemary extract, equal to 0.97 mg carnosol, 8.6 mg carnosic acid and 10.30 mg rosmarinic acid, to 19 healthy human volunteers; </w:t>
      </w:r>
      <w:r w:rsidR="00BA51A2">
        <w:t>seven</w:t>
      </w:r>
      <w:r w:rsidRPr="00D03F63">
        <w:t xml:space="preserve"> men and 12 women</w:t>
      </w:r>
      <w:r w:rsidR="00495378">
        <w:t xml:space="preserve">. </w:t>
      </w:r>
      <w:r w:rsidRPr="00D03F63">
        <w:t xml:space="preserve">The study by Samman </w:t>
      </w:r>
      <w:r w:rsidRPr="00D03F63">
        <w:rPr>
          <w:i/>
        </w:rPr>
        <w:t xml:space="preserve">et </w:t>
      </w:r>
      <w:r w:rsidRPr="00D03F63">
        <w:rPr>
          <w:i/>
        </w:rPr>
        <w:lastRenderedPageBreak/>
        <w:t>al</w:t>
      </w:r>
      <w:r w:rsidRPr="00D03F63">
        <w:t xml:space="preserve">. (2001) suggested that rosemary extract may reduce absorption of non-haeme iron, but the group sizes were small and the standard deviations around the group means were large. </w:t>
      </w:r>
    </w:p>
    <w:p w14:paraId="633953B4" w14:textId="77777777" w:rsidR="002E37D2" w:rsidRPr="00D03F63" w:rsidRDefault="002E37D2" w:rsidP="00D03F63"/>
    <w:p w14:paraId="5E374A9F" w14:textId="1B73747F" w:rsidR="00CD335B" w:rsidRPr="00CD335B" w:rsidRDefault="00DA1DEF" w:rsidP="00CD335B">
      <w:r w:rsidRPr="00DB3573">
        <w:t xml:space="preserve">JECFA established a temporary </w:t>
      </w:r>
      <w:r w:rsidR="007157A5" w:rsidRPr="00DB3573">
        <w:t>ADI</w:t>
      </w:r>
      <w:r w:rsidRPr="00DB3573">
        <w:t xml:space="preserve"> of 0 - 0.3 mg/kg bw for rosemary extract, expressed as the sum of carnosic acid and carnosol, on the basis of a NOAEL of 64 mg/kg bw/day identified in a 90-day toxicity study in rats, with the application of a 200-fold uncertainty factor. This uncertainty factor incorporates a factor of </w:t>
      </w:r>
      <w:r w:rsidR="00CE32CC">
        <w:t>two</w:t>
      </w:r>
      <w:r w:rsidRPr="00DB3573">
        <w:t xml:space="preserve"> to account for the temporary designation of the ADI, pending the submission of studies on the potential developmental and reproductive toxicity of rosemary extract. </w:t>
      </w:r>
      <w:r w:rsidR="00CD335B" w:rsidRPr="00DB3573">
        <w:t xml:space="preserve">The recently submitted reproductive and developmental screening study in rats using rosemary extract identified NOAELs for reproductive, maternal and offspring toxicity that were more than 200-fold greater than the </w:t>
      </w:r>
      <w:r w:rsidR="007157A5" w:rsidRPr="00DB3573">
        <w:t xml:space="preserve">temporary </w:t>
      </w:r>
      <w:r w:rsidR="00CD335B" w:rsidRPr="00DB3573">
        <w:t>JECFA ADI</w:t>
      </w:r>
      <w:r w:rsidR="007157A5" w:rsidRPr="00DB3573">
        <w:t xml:space="preserve">. Therefore FSANZ considers that the JECFA temporary ADI for rosemary extract </w:t>
      </w:r>
      <w:r w:rsidR="00405BC0" w:rsidRPr="00DB3573">
        <w:t>remains appropriate for the purposes of this assessment.</w:t>
      </w:r>
      <w:r w:rsidR="00405BC0">
        <w:t xml:space="preserve"> </w:t>
      </w:r>
    </w:p>
    <w:p w14:paraId="1BDAA28A" w14:textId="77777777" w:rsidR="00CD335B" w:rsidRDefault="00CD335B" w:rsidP="00DA1DEF"/>
    <w:p w14:paraId="22E3A2D7" w14:textId="7A210577" w:rsidR="009E7F57" w:rsidRDefault="00B75BBB" w:rsidP="00B75BBB">
      <w:pPr>
        <w:keepNext/>
        <w:spacing w:before="240" w:after="240"/>
        <w:ind w:left="851" w:hanging="851"/>
        <w:outlineLvl w:val="0"/>
        <w:rPr>
          <w:b/>
          <w:bCs/>
          <w:sz w:val="36"/>
          <w:szCs w:val="28"/>
          <w:lang w:bidi="ar-SA"/>
        </w:rPr>
      </w:pPr>
      <w:bookmarkStart w:id="132" w:name="_Toc517709893"/>
      <w:bookmarkStart w:id="133" w:name="_Toc518388293"/>
      <w:bookmarkStart w:id="134" w:name="_Toc526498382"/>
      <w:r>
        <w:rPr>
          <w:b/>
          <w:bCs/>
          <w:sz w:val="36"/>
          <w:szCs w:val="28"/>
          <w:lang w:bidi="ar-SA"/>
        </w:rPr>
        <w:t>4</w:t>
      </w:r>
      <w:r>
        <w:rPr>
          <w:b/>
          <w:bCs/>
          <w:sz w:val="36"/>
          <w:szCs w:val="28"/>
          <w:lang w:bidi="ar-SA"/>
        </w:rPr>
        <w:tab/>
      </w:r>
      <w:r w:rsidRPr="00B75BBB">
        <w:rPr>
          <w:b/>
          <w:bCs/>
          <w:sz w:val="36"/>
          <w:szCs w:val="28"/>
          <w:lang w:bidi="ar-SA"/>
        </w:rPr>
        <w:t xml:space="preserve">Dietary </w:t>
      </w:r>
      <w:r w:rsidR="00A963DA">
        <w:rPr>
          <w:b/>
          <w:bCs/>
          <w:sz w:val="36"/>
          <w:szCs w:val="28"/>
          <w:lang w:bidi="ar-SA"/>
        </w:rPr>
        <w:t>e</w:t>
      </w:r>
      <w:r w:rsidR="0048026B">
        <w:rPr>
          <w:b/>
          <w:bCs/>
          <w:sz w:val="36"/>
          <w:szCs w:val="28"/>
          <w:lang w:bidi="ar-SA"/>
        </w:rPr>
        <w:t>xposure</w:t>
      </w:r>
      <w:r w:rsidRPr="00B75BBB">
        <w:rPr>
          <w:b/>
          <w:bCs/>
          <w:sz w:val="36"/>
          <w:szCs w:val="28"/>
          <w:lang w:bidi="ar-SA"/>
        </w:rPr>
        <w:t xml:space="preserve"> </w:t>
      </w:r>
      <w:r w:rsidR="00A963DA">
        <w:rPr>
          <w:b/>
          <w:bCs/>
          <w:sz w:val="36"/>
          <w:szCs w:val="28"/>
          <w:lang w:bidi="ar-SA"/>
        </w:rPr>
        <w:t>a</w:t>
      </w:r>
      <w:r w:rsidRPr="00B75BBB">
        <w:rPr>
          <w:b/>
          <w:bCs/>
          <w:sz w:val="36"/>
          <w:szCs w:val="28"/>
          <w:lang w:bidi="ar-SA"/>
        </w:rPr>
        <w:t>ssessment</w:t>
      </w:r>
      <w:bookmarkEnd w:id="132"/>
      <w:bookmarkEnd w:id="133"/>
      <w:bookmarkEnd w:id="134"/>
    </w:p>
    <w:p w14:paraId="4CE862D2" w14:textId="14E109B7" w:rsidR="00613CF0" w:rsidRPr="00AE48A1" w:rsidRDefault="00E74FE0" w:rsidP="00613CF0">
      <w:pPr>
        <w:rPr>
          <w:lang w:bidi="ar-SA"/>
        </w:rPr>
      </w:pPr>
      <w:r>
        <w:rPr>
          <w:lang w:bidi="ar-SA"/>
        </w:rPr>
        <w:t>FSANZ undertook</w:t>
      </w:r>
      <w:r>
        <w:t xml:space="preserve"> a dietary exposure assessment in order to determine the level of dietary exposure to carnosic acid plus carnosol from both naturally occurring and added sources. An initial dietary exposure estimate was published as part of the Call for Submissions report. </w:t>
      </w:r>
      <w:r w:rsidR="00613CF0">
        <w:rPr>
          <w:lang w:bidi="ar-SA"/>
        </w:rPr>
        <w:t xml:space="preserve">In the Call for Submissions process, the applicant updated the proposed MPLs for a number of meat categories as </w:t>
      </w:r>
      <w:r w:rsidR="00AE48A1">
        <w:rPr>
          <w:lang w:bidi="ar-SA"/>
        </w:rPr>
        <w:t xml:space="preserve">outlined in </w:t>
      </w:r>
      <w:r w:rsidR="00AE48A1" w:rsidRPr="00AE48A1">
        <w:rPr>
          <w:lang w:bidi="ar-SA"/>
        </w:rPr>
        <w:fldChar w:fldCharType="begin"/>
      </w:r>
      <w:r w:rsidR="00AE48A1" w:rsidRPr="00AE48A1">
        <w:rPr>
          <w:lang w:bidi="ar-SA"/>
        </w:rPr>
        <w:instrText xml:space="preserve"> REF _Ref523998532 \h  \* MERGEFORMAT </w:instrText>
      </w:r>
      <w:r w:rsidR="00AE48A1" w:rsidRPr="00AE48A1">
        <w:rPr>
          <w:lang w:bidi="ar-SA"/>
        </w:rPr>
      </w:r>
      <w:r w:rsidR="00AE48A1" w:rsidRPr="00AE48A1">
        <w:rPr>
          <w:lang w:bidi="ar-SA"/>
        </w:rPr>
        <w:fldChar w:fldCharType="separate"/>
      </w:r>
      <w:r w:rsidR="004C731A" w:rsidRPr="004C731A">
        <w:t>Table 4.1</w:t>
      </w:r>
      <w:r w:rsidR="00AE48A1" w:rsidRPr="00AE48A1">
        <w:rPr>
          <w:lang w:bidi="ar-SA"/>
        </w:rPr>
        <w:fldChar w:fldCharType="end"/>
      </w:r>
      <w:r w:rsidR="00AE48A1" w:rsidRPr="00AE48A1">
        <w:rPr>
          <w:lang w:bidi="ar-SA"/>
        </w:rPr>
        <w:t xml:space="preserve">. </w:t>
      </w:r>
      <w:r w:rsidR="00AE48A1">
        <w:rPr>
          <w:lang w:bidi="ar-SA"/>
        </w:rPr>
        <w:t>Consequently, a new dietary exposure assessment has been conducted. For all details on the dietary exposure assessment conducted at the Call for Submissions</w:t>
      </w:r>
      <w:r>
        <w:rPr>
          <w:lang w:bidi="ar-SA"/>
        </w:rPr>
        <w:t xml:space="preserve"> stage</w:t>
      </w:r>
      <w:r w:rsidR="00AE48A1">
        <w:rPr>
          <w:lang w:bidi="ar-SA"/>
        </w:rPr>
        <w:t xml:space="preserve">, please refer to the Call for Submissions SD1 at </w:t>
      </w:r>
      <w:hyperlink r:id="rId20" w:history="1">
        <w:r w:rsidR="00AE48A1" w:rsidRPr="00BD3FD8">
          <w:rPr>
            <w:rStyle w:val="Hyperlink"/>
            <w:lang w:bidi="ar-SA"/>
          </w:rPr>
          <w:t>http://www.foodstandards.gov.au/code/applications/Documents/A1158 SD1.pdf</w:t>
        </w:r>
      </w:hyperlink>
      <w:r w:rsidRPr="00DA0163">
        <w:t>. Only the results for the updated assessment are presented below.</w:t>
      </w:r>
      <w:r w:rsidR="00AE48A1">
        <w:rPr>
          <w:lang w:bidi="ar-SA"/>
        </w:rPr>
        <w:t xml:space="preserve"> </w:t>
      </w:r>
    </w:p>
    <w:p w14:paraId="1947943A" w14:textId="113F09EA" w:rsidR="00613CF0" w:rsidRDefault="00613CF0" w:rsidP="00613CF0">
      <w:pPr>
        <w:rPr>
          <w:lang w:bidi="ar-SA"/>
        </w:rPr>
      </w:pPr>
    </w:p>
    <w:p w14:paraId="6D7583B5" w14:textId="07CD5EBF" w:rsidR="00AE48A1" w:rsidRPr="00BD2527" w:rsidRDefault="00AE48A1" w:rsidP="00AE48A1">
      <w:pPr>
        <w:pStyle w:val="FSTableTitle"/>
        <w:spacing w:after="120"/>
        <w:rPr>
          <w:bCs/>
          <w:i/>
        </w:rPr>
      </w:pPr>
      <w:bookmarkStart w:id="135" w:name="_Ref523998532"/>
      <w:r w:rsidRPr="00BD2527">
        <w:rPr>
          <w:i/>
        </w:rPr>
        <w:t>Table 4.</w:t>
      </w:r>
      <w:r w:rsidRPr="00BD2527">
        <w:rPr>
          <w:i/>
        </w:rPr>
        <w:fldChar w:fldCharType="begin"/>
      </w:r>
      <w:r w:rsidRPr="00BD2527">
        <w:rPr>
          <w:i/>
        </w:rPr>
        <w:instrText xml:space="preserve"> SEQ Table \* ARABIC </w:instrText>
      </w:r>
      <w:r w:rsidRPr="00BD2527">
        <w:rPr>
          <w:i/>
        </w:rPr>
        <w:fldChar w:fldCharType="separate"/>
      </w:r>
      <w:r w:rsidR="004C731A">
        <w:rPr>
          <w:i/>
          <w:noProof/>
        </w:rPr>
        <w:t>1</w:t>
      </w:r>
      <w:r w:rsidRPr="00BD2527">
        <w:rPr>
          <w:i/>
          <w:noProof/>
        </w:rPr>
        <w:fldChar w:fldCharType="end"/>
      </w:r>
      <w:bookmarkEnd w:id="135"/>
      <w:r w:rsidRPr="00BD2527">
        <w:rPr>
          <w:i/>
        </w:rPr>
        <w:t xml:space="preserve">: </w:t>
      </w:r>
      <w:r w:rsidRPr="00AE48A1">
        <w:rPr>
          <w:i/>
        </w:rPr>
        <w:t>MPLs for meat categories</w:t>
      </w:r>
      <w:r w:rsidR="00DA0163">
        <w:rPr>
          <w:i/>
        </w:rPr>
        <w:t>, including updated concentrations</w:t>
      </w:r>
      <w:r w:rsidRPr="00AE48A1">
        <w:rPr>
          <w:i/>
        </w:rPr>
        <w:t>, as requested by the Applicant</w:t>
      </w:r>
    </w:p>
    <w:tbl>
      <w:tblPr>
        <w:tblStyle w:val="Table"/>
        <w:tblW w:w="5000" w:type="pct"/>
        <w:tblLook w:val="04A0" w:firstRow="1" w:lastRow="0" w:firstColumn="1" w:lastColumn="0" w:noHBand="0" w:noVBand="1"/>
        <w:tblDescription w:val="Table that lists the food additive classifications and descriptions, and concentrations or repsemary extract in foods, expressed as the sum of carnosic acid and carnosol, for the scenarios that were modelled."/>
      </w:tblPr>
      <w:tblGrid>
        <w:gridCol w:w="2310"/>
        <w:gridCol w:w="3301"/>
        <w:gridCol w:w="1861"/>
        <w:gridCol w:w="1598"/>
      </w:tblGrid>
      <w:tr w:rsidR="00AE48A1" w:rsidRPr="008461F5" w14:paraId="561F4246" w14:textId="77777777" w:rsidTr="00AE48A1">
        <w:trPr>
          <w:cnfStyle w:val="100000000000" w:firstRow="1" w:lastRow="0" w:firstColumn="0" w:lastColumn="0" w:oddVBand="0" w:evenVBand="0" w:oddHBand="0" w:evenHBand="0" w:firstRowFirstColumn="0" w:firstRowLastColumn="0" w:lastRowFirstColumn="0" w:lastRowLastColumn="0"/>
          <w:tblHeader/>
        </w:trPr>
        <w:tc>
          <w:tcPr>
            <w:tcW w:w="1273" w:type="pct"/>
            <w:vMerge w:val="restart"/>
            <w:shd w:val="clear" w:color="auto" w:fill="777777"/>
          </w:tcPr>
          <w:p w14:paraId="3A4ADF7D" w14:textId="77777777" w:rsidR="00AE48A1" w:rsidRPr="008461F5" w:rsidRDefault="00AE48A1" w:rsidP="00613CF0">
            <w:pPr>
              <w:widowControl/>
              <w:spacing w:before="40" w:after="40"/>
              <w:rPr>
                <w:sz w:val="18"/>
                <w:szCs w:val="18"/>
                <w:lang w:bidi="ar-SA"/>
              </w:rPr>
            </w:pPr>
            <w:r w:rsidRPr="008461F5">
              <w:rPr>
                <w:sz w:val="18"/>
                <w:szCs w:val="18"/>
                <w:lang w:bidi="ar-SA"/>
              </w:rPr>
              <w:t xml:space="preserve">Category in </w:t>
            </w:r>
            <w:r>
              <w:rPr>
                <w:sz w:val="18"/>
                <w:szCs w:val="18"/>
                <w:lang w:bidi="ar-SA"/>
              </w:rPr>
              <w:t>a</w:t>
            </w:r>
            <w:r w:rsidRPr="008461F5">
              <w:rPr>
                <w:sz w:val="18"/>
                <w:szCs w:val="18"/>
                <w:lang w:bidi="ar-SA"/>
              </w:rPr>
              <w:t>pplication</w:t>
            </w:r>
          </w:p>
        </w:tc>
        <w:tc>
          <w:tcPr>
            <w:tcW w:w="1820" w:type="pct"/>
            <w:vMerge w:val="restart"/>
            <w:shd w:val="clear" w:color="auto" w:fill="777777"/>
          </w:tcPr>
          <w:p w14:paraId="656C92A1" w14:textId="594A25CA" w:rsidR="00AE48A1" w:rsidRPr="008461F5" w:rsidRDefault="00E74FE0" w:rsidP="00613CF0">
            <w:pPr>
              <w:widowControl/>
              <w:spacing w:before="40" w:after="40"/>
              <w:rPr>
                <w:sz w:val="18"/>
                <w:szCs w:val="18"/>
                <w:lang w:bidi="ar-SA"/>
              </w:rPr>
            </w:pPr>
            <w:r>
              <w:rPr>
                <w:sz w:val="18"/>
                <w:szCs w:val="18"/>
                <w:lang w:bidi="ar-SA"/>
              </w:rPr>
              <w:t>D</w:t>
            </w:r>
            <w:r w:rsidR="00AE48A1" w:rsidRPr="008461F5">
              <w:rPr>
                <w:sz w:val="18"/>
                <w:szCs w:val="18"/>
                <w:lang w:bidi="ar-SA"/>
              </w:rPr>
              <w:t>escription</w:t>
            </w:r>
            <w:r>
              <w:rPr>
                <w:sz w:val="18"/>
                <w:szCs w:val="18"/>
                <w:lang w:bidi="ar-SA"/>
              </w:rPr>
              <w:t xml:space="preserve"> of requested food</w:t>
            </w:r>
            <w:r w:rsidR="00AE48A1" w:rsidRPr="008461F5">
              <w:rPr>
                <w:sz w:val="18"/>
                <w:szCs w:val="18"/>
                <w:lang w:bidi="ar-SA"/>
              </w:rPr>
              <w:t xml:space="preserve"> in </w:t>
            </w:r>
            <w:r w:rsidR="00AE48A1">
              <w:rPr>
                <w:sz w:val="18"/>
                <w:szCs w:val="18"/>
                <w:lang w:bidi="ar-SA"/>
              </w:rPr>
              <w:t>a</w:t>
            </w:r>
            <w:r w:rsidR="00AE48A1" w:rsidRPr="008461F5">
              <w:rPr>
                <w:sz w:val="18"/>
                <w:szCs w:val="18"/>
                <w:lang w:bidi="ar-SA"/>
              </w:rPr>
              <w:t>pplication</w:t>
            </w:r>
          </w:p>
        </w:tc>
        <w:tc>
          <w:tcPr>
            <w:tcW w:w="1907" w:type="pct"/>
            <w:gridSpan w:val="2"/>
            <w:shd w:val="clear" w:color="auto" w:fill="777777"/>
          </w:tcPr>
          <w:p w14:paraId="1A295A4B" w14:textId="39677D06" w:rsidR="00AE48A1" w:rsidRPr="008461F5" w:rsidRDefault="00AE48A1" w:rsidP="00613CF0">
            <w:pPr>
              <w:widowControl/>
              <w:tabs>
                <w:tab w:val="decimal" w:pos="738"/>
              </w:tabs>
              <w:spacing w:before="40" w:after="40"/>
              <w:jc w:val="center"/>
              <w:rPr>
                <w:b w:val="0"/>
                <w:sz w:val="18"/>
                <w:szCs w:val="18"/>
                <w:lang w:bidi="ar-SA"/>
              </w:rPr>
            </w:pPr>
            <w:r>
              <w:rPr>
                <w:sz w:val="18"/>
                <w:szCs w:val="18"/>
                <w:lang w:bidi="ar-SA"/>
              </w:rPr>
              <w:t>Carnosic acid plus c</w:t>
            </w:r>
            <w:r w:rsidRPr="008461F5">
              <w:rPr>
                <w:sz w:val="18"/>
                <w:szCs w:val="18"/>
                <w:lang w:bidi="ar-SA"/>
              </w:rPr>
              <w:t>arnosol concentration (mg/kg)</w:t>
            </w:r>
          </w:p>
        </w:tc>
      </w:tr>
      <w:tr w:rsidR="00613CF0" w:rsidRPr="008461F5" w14:paraId="372E1E25" w14:textId="77777777" w:rsidTr="00AE48A1">
        <w:trPr>
          <w:cnfStyle w:val="100000000000" w:firstRow="1" w:lastRow="0" w:firstColumn="0" w:lastColumn="0" w:oddVBand="0" w:evenVBand="0" w:oddHBand="0" w:evenHBand="0" w:firstRowFirstColumn="0" w:firstRowLastColumn="0" w:lastRowFirstColumn="0" w:lastRowLastColumn="0"/>
          <w:tblHeader/>
        </w:trPr>
        <w:tc>
          <w:tcPr>
            <w:tcW w:w="1273" w:type="pct"/>
            <w:vMerge/>
            <w:shd w:val="clear" w:color="auto" w:fill="777777"/>
          </w:tcPr>
          <w:p w14:paraId="083E4E46" w14:textId="77777777" w:rsidR="00613CF0" w:rsidRPr="008461F5" w:rsidRDefault="00613CF0" w:rsidP="00613CF0">
            <w:pPr>
              <w:widowControl/>
              <w:spacing w:before="40" w:after="40"/>
              <w:rPr>
                <w:sz w:val="18"/>
                <w:szCs w:val="18"/>
                <w:lang w:bidi="ar-SA"/>
              </w:rPr>
            </w:pPr>
          </w:p>
        </w:tc>
        <w:tc>
          <w:tcPr>
            <w:tcW w:w="1820" w:type="pct"/>
            <w:vMerge/>
            <w:shd w:val="clear" w:color="auto" w:fill="777777"/>
          </w:tcPr>
          <w:p w14:paraId="594D9AE9" w14:textId="77777777" w:rsidR="00613CF0" w:rsidRPr="008461F5" w:rsidRDefault="00613CF0" w:rsidP="00613CF0">
            <w:pPr>
              <w:widowControl/>
              <w:spacing w:before="40" w:after="40"/>
              <w:rPr>
                <w:sz w:val="18"/>
                <w:szCs w:val="18"/>
                <w:lang w:bidi="ar-SA"/>
              </w:rPr>
            </w:pPr>
          </w:p>
        </w:tc>
        <w:tc>
          <w:tcPr>
            <w:tcW w:w="1026" w:type="pct"/>
            <w:shd w:val="clear" w:color="auto" w:fill="777777"/>
          </w:tcPr>
          <w:p w14:paraId="27E5C446" w14:textId="2F869DA5" w:rsidR="00613CF0" w:rsidRPr="00B75459" w:rsidRDefault="00613CF0" w:rsidP="00613CF0">
            <w:pPr>
              <w:widowControl/>
              <w:tabs>
                <w:tab w:val="decimal" w:pos="738"/>
              </w:tabs>
              <w:spacing w:before="40" w:after="40"/>
              <w:jc w:val="center"/>
              <w:rPr>
                <w:b w:val="0"/>
                <w:i/>
                <w:sz w:val="18"/>
                <w:szCs w:val="18"/>
                <w:lang w:bidi="ar-SA"/>
              </w:rPr>
            </w:pPr>
            <w:r>
              <w:rPr>
                <w:i/>
                <w:sz w:val="18"/>
                <w:szCs w:val="18"/>
                <w:lang w:bidi="ar-SA"/>
              </w:rPr>
              <w:t>In application</w:t>
            </w:r>
          </w:p>
        </w:tc>
        <w:tc>
          <w:tcPr>
            <w:tcW w:w="881" w:type="pct"/>
            <w:shd w:val="clear" w:color="auto" w:fill="777777"/>
          </w:tcPr>
          <w:p w14:paraId="0D924D8C" w14:textId="77777777" w:rsidR="00613CF0" w:rsidRPr="00613CF0" w:rsidRDefault="00613CF0" w:rsidP="00613CF0">
            <w:pPr>
              <w:widowControl/>
              <w:spacing w:before="40" w:after="40"/>
              <w:jc w:val="center"/>
              <w:rPr>
                <w:b w:val="0"/>
                <w:i/>
                <w:sz w:val="18"/>
                <w:szCs w:val="18"/>
                <w:lang w:bidi="ar-SA"/>
              </w:rPr>
            </w:pPr>
            <w:r>
              <w:rPr>
                <w:i/>
                <w:sz w:val="18"/>
                <w:szCs w:val="18"/>
                <w:lang w:bidi="ar-SA"/>
              </w:rPr>
              <w:t>Revised</w:t>
            </w:r>
          </w:p>
        </w:tc>
      </w:tr>
      <w:tr w:rsidR="00613CF0" w:rsidRPr="008461F5" w14:paraId="4DB9BC02" w14:textId="77777777" w:rsidTr="00AE48A1">
        <w:trPr>
          <w:cnfStyle w:val="000000100000" w:firstRow="0" w:lastRow="0" w:firstColumn="0" w:lastColumn="0" w:oddVBand="0" w:evenVBand="0" w:oddHBand="1" w:evenHBand="0" w:firstRowFirstColumn="0" w:firstRowLastColumn="0" w:lastRowFirstColumn="0" w:lastRowLastColumn="0"/>
        </w:trPr>
        <w:tc>
          <w:tcPr>
            <w:tcW w:w="1273" w:type="pct"/>
          </w:tcPr>
          <w:p w14:paraId="68D5AAFF"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8.2</w:t>
            </w:r>
          </w:p>
        </w:tc>
        <w:tc>
          <w:tcPr>
            <w:tcW w:w="1820" w:type="pct"/>
          </w:tcPr>
          <w:p w14:paraId="680DF265"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Processed meat, poultry &amp; game in whole cuts or pieces –fat content ≤10% fat</w:t>
            </w:r>
          </w:p>
        </w:tc>
        <w:tc>
          <w:tcPr>
            <w:tcW w:w="1026" w:type="pct"/>
          </w:tcPr>
          <w:p w14:paraId="5A6D1E6F" w14:textId="72C47524" w:rsidR="00613CF0" w:rsidRPr="008461F5" w:rsidRDefault="00AE48A1" w:rsidP="00613CF0">
            <w:pPr>
              <w:widowControl/>
              <w:tabs>
                <w:tab w:val="decimal" w:pos="738"/>
              </w:tabs>
              <w:spacing w:before="40" w:after="40"/>
              <w:rPr>
                <w:sz w:val="18"/>
                <w:szCs w:val="18"/>
                <w:lang w:bidi="ar-SA"/>
              </w:rPr>
            </w:pPr>
            <w:r>
              <w:rPr>
                <w:sz w:val="18"/>
                <w:szCs w:val="18"/>
                <w:lang w:bidi="ar-SA"/>
              </w:rPr>
              <w:t>1.5</w:t>
            </w:r>
          </w:p>
        </w:tc>
        <w:tc>
          <w:tcPr>
            <w:tcW w:w="881" w:type="pct"/>
          </w:tcPr>
          <w:p w14:paraId="27357D5D" w14:textId="4E2B2DAD" w:rsidR="00613CF0" w:rsidRPr="008461F5" w:rsidRDefault="00DC7955" w:rsidP="00613CF0">
            <w:pPr>
              <w:widowControl/>
              <w:tabs>
                <w:tab w:val="decimal" w:pos="627"/>
              </w:tabs>
              <w:spacing w:before="40" w:after="40"/>
              <w:rPr>
                <w:sz w:val="18"/>
                <w:szCs w:val="18"/>
                <w:lang w:bidi="ar-SA"/>
              </w:rPr>
            </w:pPr>
            <w:r>
              <w:rPr>
                <w:sz w:val="18"/>
                <w:szCs w:val="18"/>
                <w:lang w:bidi="ar-SA"/>
              </w:rPr>
              <w:t>15</w:t>
            </w:r>
          </w:p>
        </w:tc>
      </w:tr>
      <w:tr w:rsidR="00613CF0" w:rsidRPr="008461F5" w14:paraId="15F0DCE0" w14:textId="77777777" w:rsidTr="00AE48A1">
        <w:trPr>
          <w:cnfStyle w:val="000000010000" w:firstRow="0" w:lastRow="0" w:firstColumn="0" w:lastColumn="0" w:oddVBand="0" w:evenVBand="0" w:oddHBand="0" w:evenHBand="1" w:firstRowFirstColumn="0" w:firstRowLastColumn="0" w:lastRowFirstColumn="0" w:lastRowLastColumn="0"/>
        </w:trPr>
        <w:tc>
          <w:tcPr>
            <w:tcW w:w="1273" w:type="pct"/>
          </w:tcPr>
          <w:p w14:paraId="696E6CCB"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8.2</w:t>
            </w:r>
          </w:p>
        </w:tc>
        <w:tc>
          <w:tcPr>
            <w:tcW w:w="1820" w:type="pct"/>
          </w:tcPr>
          <w:p w14:paraId="4C50A04E"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Processed meat, poultry &amp; game in whole cuts or pieces –fat content &gt;10% fat</w:t>
            </w:r>
          </w:p>
        </w:tc>
        <w:tc>
          <w:tcPr>
            <w:tcW w:w="1026" w:type="pct"/>
          </w:tcPr>
          <w:p w14:paraId="57D766AA" w14:textId="4D9972D0" w:rsidR="00613CF0" w:rsidRPr="008461F5" w:rsidRDefault="00AE48A1" w:rsidP="00613CF0">
            <w:pPr>
              <w:widowControl/>
              <w:tabs>
                <w:tab w:val="decimal" w:pos="738"/>
              </w:tabs>
              <w:spacing w:before="40" w:after="40"/>
              <w:rPr>
                <w:sz w:val="18"/>
                <w:szCs w:val="18"/>
                <w:lang w:bidi="ar-SA"/>
              </w:rPr>
            </w:pPr>
            <w:r>
              <w:rPr>
                <w:sz w:val="18"/>
                <w:szCs w:val="18"/>
                <w:lang w:bidi="ar-SA"/>
              </w:rPr>
              <w:t>37.5</w:t>
            </w:r>
          </w:p>
        </w:tc>
        <w:tc>
          <w:tcPr>
            <w:tcW w:w="881" w:type="pct"/>
          </w:tcPr>
          <w:p w14:paraId="7D8A6172" w14:textId="77777777" w:rsidR="00613CF0" w:rsidRPr="008461F5" w:rsidRDefault="00613CF0" w:rsidP="00613CF0">
            <w:pPr>
              <w:widowControl/>
              <w:tabs>
                <w:tab w:val="decimal" w:pos="627"/>
              </w:tabs>
              <w:spacing w:before="40" w:after="40"/>
              <w:rPr>
                <w:sz w:val="18"/>
                <w:szCs w:val="18"/>
                <w:lang w:bidi="ar-SA"/>
              </w:rPr>
            </w:pPr>
            <w:r w:rsidRPr="008461F5">
              <w:rPr>
                <w:sz w:val="18"/>
                <w:szCs w:val="18"/>
                <w:lang w:bidi="ar-SA"/>
              </w:rPr>
              <w:t>37.5</w:t>
            </w:r>
          </w:p>
        </w:tc>
      </w:tr>
      <w:tr w:rsidR="00613CF0" w:rsidRPr="008461F5" w14:paraId="39736B30" w14:textId="77777777" w:rsidTr="00AE48A1">
        <w:trPr>
          <w:cnfStyle w:val="000000100000" w:firstRow="0" w:lastRow="0" w:firstColumn="0" w:lastColumn="0" w:oddVBand="0" w:evenVBand="0" w:oddHBand="1" w:evenHBand="0" w:firstRowFirstColumn="0" w:firstRowLastColumn="0" w:lastRowFirstColumn="0" w:lastRowLastColumn="0"/>
        </w:trPr>
        <w:tc>
          <w:tcPr>
            <w:tcW w:w="1273" w:type="pct"/>
          </w:tcPr>
          <w:p w14:paraId="54563CD7"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8.2.3</w:t>
            </w:r>
          </w:p>
        </w:tc>
        <w:tc>
          <w:tcPr>
            <w:tcW w:w="1820" w:type="pct"/>
          </w:tcPr>
          <w:p w14:paraId="0B68D82E"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Dried meat</w:t>
            </w:r>
          </w:p>
        </w:tc>
        <w:tc>
          <w:tcPr>
            <w:tcW w:w="1026" w:type="pct"/>
          </w:tcPr>
          <w:p w14:paraId="452081B7" w14:textId="71257EB7" w:rsidR="00613CF0" w:rsidRPr="008461F5" w:rsidRDefault="00AE48A1" w:rsidP="00613CF0">
            <w:pPr>
              <w:widowControl/>
              <w:tabs>
                <w:tab w:val="decimal" w:pos="738"/>
              </w:tabs>
              <w:spacing w:before="40" w:after="40"/>
              <w:rPr>
                <w:sz w:val="18"/>
                <w:szCs w:val="18"/>
                <w:lang w:bidi="ar-SA"/>
              </w:rPr>
            </w:pPr>
            <w:r>
              <w:rPr>
                <w:sz w:val="18"/>
                <w:szCs w:val="18"/>
                <w:lang w:bidi="ar-SA"/>
              </w:rPr>
              <w:t>37.5</w:t>
            </w:r>
          </w:p>
        </w:tc>
        <w:tc>
          <w:tcPr>
            <w:tcW w:w="881" w:type="pct"/>
          </w:tcPr>
          <w:p w14:paraId="0B1D17DC" w14:textId="280D26B5" w:rsidR="00613CF0" w:rsidRPr="008461F5" w:rsidRDefault="00AE48A1" w:rsidP="00613CF0">
            <w:pPr>
              <w:widowControl/>
              <w:tabs>
                <w:tab w:val="decimal" w:pos="627"/>
              </w:tabs>
              <w:spacing w:before="40" w:after="40"/>
              <w:rPr>
                <w:sz w:val="18"/>
                <w:szCs w:val="18"/>
                <w:lang w:bidi="ar-SA"/>
              </w:rPr>
            </w:pPr>
            <w:r>
              <w:rPr>
                <w:sz w:val="18"/>
                <w:szCs w:val="18"/>
                <w:lang w:bidi="ar-SA"/>
              </w:rPr>
              <w:t>150</w:t>
            </w:r>
          </w:p>
        </w:tc>
      </w:tr>
      <w:tr w:rsidR="00613CF0" w:rsidRPr="008461F5" w14:paraId="69D14A02" w14:textId="77777777" w:rsidTr="00AE48A1">
        <w:trPr>
          <w:cnfStyle w:val="000000010000" w:firstRow="0" w:lastRow="0" w:firstColumn="0" w:lastColumn="0" w:oddVBand="0" w:evenVBand="0" w:oddHBand="0" w:evenHBand="1" w:firstRowFirstColumn="0" w:firstRowLastColumn="0" w:lastRowFirstColumn="0" w:lastRowLastColumn="0"/>
        </w:trPr>
        <w:tc>
          <w:tcPr>
            <w:tcW w:w="1273" w:type="pct"/>
          </w:tcPr>
          <w:p w14:paraId="1ACFF841"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8.3.2</w:t>
            </w:r>
          </w:p>
        </w:tc>
        <w:tc>
          <w:tcPr>
            <w:tcW w:w="1820" w:type="pct"/>
          </w:tcPr>
          <w:p w14:paraId="377392AE" w14:textId="77777777" w:rsidR="00613CF0" w:rsidRPr="008461F5" w:rsidRDefault="00613CF0" w:rsidP="00613CF0">
            <w:pPr>
              <w:widowControl/>
              <w:spacing w:before="40" w:after="40"/>
              <w:rPr>
                <w:color w:val="000000"/>
                <w:sz w:val="18"/>
                <w:szCs w:val="18"/>
                <w:lang w:bidi="ar-SA"/>
              </w:rPr>
            </w:pPr>
            <w:r w:rsidRPr="008461F5">
              <w:rPr>
                <w:color w:val="000000"/>
                <w:sz w:val="18"/>
                <w:szCs w:val="18"/>
                <w:lang w:bidi="ar-SA"/>
              </w:rPr>
              <w:t>Dried sausages (from raw meat)</w:t>
            </w:r>
          </w:p>
        </w:tc>
        <w:tc>
          <w:tcPr>
            <w:tcW w:w="1026" w:type="pct"/>
          </w:tcPr>
          <w:p w14:paraId="66A5FB00" w14:textId="57426501" w:rsidR="00613CF0" w:rsidRPr="008461F5" w:rsidRDefault="00AE48A1" w:rsidP="00613CF0">
            <w:pPr>
              <w:widowControl/>
              <w:tabs>
                <w:tab w:val="decimal" w:pos="738"/>
              </w:tabs>
              <w:spacing w:before="40" w:after="40"/>
              <w:rPr>
                <w:sz w:val="18"/>
                <w:szCs w:val="18"/>
                <w:lang w:bidi="ar-SA"/>
              </w:rPr>
            </w:pPr>
            <w:r>
              <w:rPr>
                <w:sz w:val="18"/>
                <w:szCs w:val="18"/>
                <w:lang w:bidi="ar-SA"/>
              </w:rPr>
              <w:t>5</w:t>
            </w:r>
            <w:r w:rsidR="00613CF0" w:rsidRPr="008461F5">
              <w:rPr>
                <w:sz w:val="18"/>
                <w:szCs w:val="18"/>
                <w:lang w:bidi="ar-SA"/>
              </w:rPr>
              <w:t>0</w:t>
            </w:r>
          </w:p>
        </w:tc>
        <w:tc>
          <w:tcPr>
            <w:tcW w:w="881" w:type="pct"/>
          </w:tcPr>
          <w:p w14:paraId="089B2AB6" w14:textId="3802A2E1" w:rsidR="00613CF0" w:rsidRPr="008461F5" w:rsidRDefault="00AE48A1" w:rsidP="00613CF0">
            <w:pPr>
              <w:widowControl/>
              <w:tabs>
                <w:tab w:val="decimal" w:pos="627"/>
              </w:tabs>
              <w:spacing w:before="40" w:after="40"/>
              <w:rPr>
                <w:sz w:val="18"/>
                <w:szCs w:val="18"/>
                <w:lang w:bidi="ar-SA"/>
              </w:rPr>
            </w:pPr>
            <w:r>
              <w:rPr>
                <w:sz w:val="18"/>
                <w:szCs w:val="18"/>
                <w:lang w:bidi="ar-SA"/>
              </w:rPr>
              <w:t>10</w:t>
            </w:r>
            <w:r w:rsidR="00613CF0" w:rsidRPr="008461F5">
              <w:rPr>
                <w:sz w:val="18"/>
                <w:szCs w:val="18"/>
                <w:lang w:bidi="ar-SA"/>
              </w:rPr>
              <w:t>0</w:t>
            </w:r>
          </w:p>
        </w:tc>
      </w:tr>
    </w:tbl>
    <w:p w14:paraId="31983F24" w14:textId="53622778" w:rsidR="00B75BBB" w:rsidRDefault="00B75BBB" w:rsidP="00DF662D">
      <w:pPr>
        <w:pStyle w:val="Heading2"/>
      </w:pPr>
      <w:bookmarkStart w:id="136" w:name="_Toc518388294"/>
      <w:bookmarkStart w:id="137" w:name="_Toc508119306"/>
      <w:bookmarkStart w:id="138" w:name="_Toc516668836"/>
      <w:bookmarkStart w:id="139" w:name="_Toc517709894"/>
      <w:bookmarkStart w:id="140" w:name="_Toc526498383"/>
      <w:r>
        <w:t>4.1</w:t>
      </w:r>
      <w:r>
        <w:tab/>
        <w:t>Approach to estimating dietary exposure</w:t>
      </w:r>
      <w:bookmarkEnd w:id="136"/>
      <w:bookmarkEnd w:id="137"/>
      <w:bookmarkEnd w:id="138"/>
      <w:bookmarkEnd w:id="139"/>
      <w:bookmarkEnd w:id="140"/>
    </w:p>
    <w:p w14:paraId="4D97DD9F" w14:textId="18D7F23C" w:rsidR="00DF662D" w:rsidRPr="00DF662D" w:rsidRDefault="00B75BBB" w:rsidP="00DF662D">
      <w:r>
        <w:t>Dietary exposure</w:t>
      </w:r>
      <w:r w:rsidRPr="00C472DB">
        <w:t xml:space="preserve"> assessments require</w:t>
      </w:r>
      <w:r w:rsidR="00CE32CC">
        <w:t>:</w:t>
      </w:r>
      <w:r w:rsidRPr="00C472DB">
        <w:t xml:space="preserve"> data on the concentrations of the chemical of interest in the foods requested, </w:t>
      </w:r>
      <w:r>
        <w:t xml:space="preserve">including </w:t>
      </w:r>
      <w:r w:rsidRPr="00C472DB">
        <w:t xml:space="preserve">any naturally-occurring sources and any current permission for additions to food; and consumption data for the foods that have been collected through a national nutrition survey. The dietary </w:t>
      </w:r>
      <w:r>
        <w:t>exposure</w:t>
      </w:r>
      <w:r w:rsidRPr="00C472DB">
        <w:t xml:space="preserve">s </w:t>
      </w:r>
      <w:r>
        <w:t>to</w:t>
      </w:r>
      <w:r w:rsidRPr="00C472DB">
        <w:t xml:space="preserve"> </w:t>
      </w:r>
      <w:r w:rsidR="00146D1F">
        <w:t>c</w:t>
      </w:r>
      <w:r>
        <w:t xml:space="preserve">arnosic acid plus </w:t>
      </w:r>
      <w:r w:rsidR="00146D1F">
        <w:t>c</w:t>
      </w:r>
      <w:r>
        <w:t>arnosol</w:t>
      </w:r>
      <w:r w:rsidRPr="00C472DB">
        <w:t xml:space="preserve"> were estimated usin</w:t>
      </w:r>
      <w:r>
        <w:t>g</w:t>
      </w:r>
      <w:r w:rsidR="00CE32CC">
        <w:t>:</w:t>
      </w:r>
      <w:r>
        <w:t xml:space="preserve"> (1) </w:t>
      </w:r>
      <w:r w:rsidRPr="00C472DB">
        <w:t xml:space="preserve">the </w:t>
      </w:r>
      <w:r w:rsidR="00C12AA0">
        <w:t xml:space="preserve">maximum permitted levels </w:t>
      </w:r>
      <w:r w:rsidRPr="00C472DB">
        <w:t>i</w:t>
      </w:r>
      <w:r w:rsidR="00DF662D">
        <w:t>n the requested food categories</w:t>
      </w:r>
      <w:r w:rsidR="00CE32CC">
        <w:t xml:space="preserve">; </w:t>
      </w:r>
      <w:r>
        <w:t xml:space="preserve">(2) usual use levels in the requested food categories, as provided by the </w:t>
      </w:r>
      <w:r w:rsidR="00146D1F">
        <w:t>a</w:t>
      </w:r>
      <w:r w:rsidR="00DF662D">
        <w:t>pplicant</w:t>
      </w:r>
      <w:r w:rsidR="00CE32CC">
        <w:t>;</w:t>
      </w:r>
      <w:r>
        <w:t xml:space="preserve"> </w:t>
      </w:r>
      <w:r w:rsidR="00DF662D">
        <w:t xml:space="preserve">and </w:t>
      </w:r>
      <w:r w:rsidRPr="00C472DB">
        <w:t>(</w:t>
      </w:r>
      <w:r>
        <w:t>3) </w:t>
      </w:r>
      <w:r w:rsidRPr="00C472DB">
        <w:t>naturally occurring concentra</w:t>
      </w:r>
      <w:r w:rsidR="00DF662D">
        <w:t xml:space="preserve">tions in rosemary leaves </w:t>
      </w:r>
      <w:r w:rsidR="00CB11A8">
        <w:t xml:space="preserve">combined with </w:t>
      </w:r>
      <w:r w:rsidRPr="00C472DB">
        <w:t>food consumption data from the most recent Australian and New Zealand national nutrition surveys.</w:t>
      </w:r>
      <w:r>
        <w:t xml:space="preserve"> Dietary exposures to </w:t>
      </w:r>
      <w:r w:rsidR="00146D1F">
        <w:t>c</w:t>
      </w:r>
      <w:r>
        <w:t xml:space="preserve">arnosic acid plus </w:t>
      </w:r>
      <w:r w:rsidR="00146D1F">
        <w:t>c</w:t>
      </w:r>
      <w:r>
        <w:t>arnosol from flavouring sources were not included (see discussion in Section</w:t>
      </w:r>
      <w:r w:rsidR="0048026B">
        <w:t xml:space="preserve"> 4.1.1.2 below</w:t>
      </w:r>
      <w:r>
        <w:t>).</w:t>
      </w:r>
      <w:r w:rsidRPr="00C472DB">
        <w:t xml:space="preserve"> The dietary </w:t>
      </w:r>
      <w:r>
        <w:t>exposure</w:t>
      </w:r>
      <w:r w:rsidRPr="00C472DB">
        <w:t xml:space="preserve"> assessments were undertaken </w:t>
      </w:r>
      <w:r w:rsidRPr="00C472DB">
        <w:lastRenderedPageBreak/>
        <w:t>using FSANZ’s dietary modelling computer program, Harvest</w:t>
      </w:r>
      <w:r w:rsidRPr="00C472DB">
        <w:rPr>
          <w:rStyle w:val="FootnoteReference"/>
        </w:rPr>
        <w:footnoteReference w:id="5"/>
      </w:r>
      <w:r w:rsidRPr="00C472DB">
        <w:t>.</w:t>
      </w:r>
      <w:r w:rsidR="00DF662D">
        <w:t xml:space="preserve"> </w:t>
      </w:r>
      <w:r w:rsidR="00DF662D" w:rsidRPr="00DF662D">
        <w:t>Since there is a temporary ADI of 0–</w:t>
      </w:r>
      <w:r w:rsidR="00B8671E">
        <w:t>0.3 </w:t>
      </w:r>
      <w:r w:rsidR="00DF662D">
        <w:t>mg/kg body weight set by JECFA</w:t>
      </w:r>
      <w:r w:rsidR="00DF662D" w:rsidRPr="00DF662D">
        <w:t xml:space="preserve"> for rosemary extract</w:t>
      </w:r>
      <w:r w:rsidR="00DF662D">
        <w:t xml:space="preserve"> expressed as carnosic acid plus carnosol</w:t>
      </w:r>
      <w:r w:rsidR="00DF662D" w:rsidRPr="00DF662D">
        <w:t xml:space="preserve"> (FAO/WHO, 2016), dietary exposures </w:t>
      </w:r>
      <w:r w:rsidR="00DF662D">
        <w:t xml:space="preserve">as a percentage of the ADI </w:t>
      </w:r>
      <w:r w:rsidR="00DF662D" w:rsidRPr="00DF662D">
        <w:t>have been estimated in this assessment.</w:t>
      </w:r>
    </w:p>
    <w:p w14:paraId="41C92750" w14:textId="77777777" w:rsidR="00DF662D" w:rsidRDefault="00DF662D" w:rsidP="00B75BBB"/>
    <w:p w14:paraId="0D88D744" w14:textId="036AC431" w:rsidR="00B75BBB" w:rsidRPr="00FE0034" w:rsidRDefault="00B75BBB" w:rsidP="00B75BBB">
      <w:r w:rsidRPr="00FE0034">
        <w:t xml:space="preserve">A summary of the general FSANZ approach to conducting the dietary </w:t>
      </w:r>
      <w:r>
        <w:t xml:space="preserve">exposure </w:t>
      </w:r>
      <w:r w:rsidRPr="00FE0034">
        <w:t>asses</w:t>
      </w:r>
      <w:r>
        <w:t xml:space="preserve">sment for this </w:t>
      </w:r>
      <w:r w:rsidR="00146D1F">
        <w:t>a</w:t>
      </w:r>
      <w:r>
        <w:t xml:space="preserve">pplication is in </w:t>
      </w:r>
      <w:r w:rsidR="0048026B">
        <w:t>Appendix 1</w:t>
      </w:r>
      <w:r>
        <w:t>.</w:t>
      </w:r>
      <w:r w:rsidRPr="00FE0034">
        <w:t xml:space="preserve"> A detailed discussion of the FSANZ methodology and approach to conducting dietary </w:t>
      </w:r>
      <w:r>
        <w:t>exposure</w:t>
      </w:r>
      <w:r w:rsidRPr="00FE0034">
        <w:t xml:space="preserve"> assessments is set out in </w:t>
      </w:r>
      <w:r w:rsidRPr="00FE0034">
        <w:rPr>
          <w:i/>
        </w:rPr>
        <w:t xml:space="preserve">Principles and Practices of Dietary Exposure Assessment for Food Regulatory Purposes </w:t>
      </w:r>
      <w:r w:rsidRPr="00FE0034">
        <w:t>(FSANZ 2009).</w:t>
      </w:r>
    </w:p>
    <w:p w14:paraId="4532F1C5" w14:textId="55411DAE" w:rsidR="00B75BBB" w:rsidRDefault="00CD28D4" w:rsidP="005137FA">
      <w:pPr>
        <w:pStyle w:val="Heading3"/>
      </w:pPr>
      <w:bookmarkStart w:id="141" w:name="_Toc516668837"/>
      <w:bookmarkStart w:id="142" w:name="_Toc517709895"/>
      <w:bookmarkStart w:id="143" w:name="_Toc518388295"/>
      <w:bookmarkStart w:id="144" w:name="_Toc526498384"/>
      <w:r>
        <w:t>4.1.1</w:t>
      </w:r>
      <w:r w:rsidR="00B75BBB">
        <w:tab/>
      </w:r>
      <w:r w:rsidR="00B75BBB" w:rsidRPr="00BE310C">
        <w:t>Concentrations</w:t>
      </w:r>
      <w:r w:rsidR="00B75BBB" w:rsidRPr="00A54CCE">
        <w:t xml:space="preserve"> of </w:t>
      </w:r>
      <w:r w:rsidR="00146D1F">
        <w:t>c</w:t>
      </w:r>
      <w:r w:rsidR="00B75BBB">
        <w:t xml:space="preserve">arnosic acid plus </w:t>
      </w:r>
      <w:r w:rsidR="00146D1F">
        <w:t>c</w:t>
      </w:r>
      <w:r w:rsidR="00B75BBB">
        <w:t>arnosol</w:t>
      </w:r>
      <w:r w:rsidR="00B75BBB" w:rsidRPr="00A54CCE">
        <w:t xml:space="preserve"> in foods</w:t>
      </w:r>
      <w:bookmarkEnd w:id="141"/>
      <w:bookmarkEnd w:id="142"/>
      <w:bookmarkEnd w:id="143"/>
      <w:bookmarkEnd w:id="144"/>
    </w:p>
    <w:p w14:paraId="4E71E091" w14:textId="42B3C6B7" w:rsidR="00B75BBB" w:rsidRPr="00A54CCE" w:rsidRDefault="00B75BBB" w:rsidP="00B75BBB">
      <w:pPr>
        <w:pStyle w:val="Heading5"/>
      </w:pPr>
      <w:r>
        <w:t>4.1.1.1</w:t>
      </w:r>
      <w:r>
        <w:tab/>
      </w:r>
      <w:r w:rsidRPr="00A54CCE">
        <w:t xml:space="preserve">Naturally-occurring </w:t>
      </w:r>
      <w:r w:rsidRPr="00BE310C">
        <w:t>concentrations</w:t>
      </w:r>
      <w:r w:rsidRPr="00A54CCE">
        <w:t xml:space="preserve"> of </w:t>
      </w:r>
      <w:r w:rsidR="00146D1F">
        <w:t>c</w:t>
      </w:r>
      <w:r>
        <w:t xml:space="preserve">arnosic acid plus </w:t>
      </w:r>
      <w:r w:rsidR="00146D1F">
        <w:t>c</w:t>
      </w:r>
      <w:r>
        <w:t>arnosol</w:t>
      </w:r>
      <w:r w:rsidRPr="00A54CCE">
        <w:t xml:space="preserve"> in foods</w:t>
      </w:r>
    </w:p>
    <w:p w14:paraId="01C0F7E4" w14:textId="5FF9B49D" w:rsidR="00B75BBB" w:rsidRDefault="00B75BBB" w:rsidP="00B75BBB">
      <w:r w:rsidRPr="0040273F">
        <w:rPr>
          <w:bCs/>
        </w:rPr>
        <w:t xml:space="preserve">The </w:t>
      </w:r>
      <w:r w:rsidR="00C12AA0">
        <w:rPr>
          <w:bCs/>
        </w:rPr>
        <w:t>a</w:t>
      </w:r>
      <w:r w:rsidRPr="0040273F">
        <w:rPr>
          <w:bCs/>
        </w:rPr>
        <w:t xml:space="preserve">pplicant reported that the concentration of </w:t>
      </w:r>
      <w:r w:rsidR="00146D1F">
        <w:t>c</w:t>
      </w:r>
      <w:r w:rsidRPr="0040273F">
        <w:t>arnosol in dried rosemary leaves is 1</w:t>
      </w:r>
      <w:r w:rsidRPr="0040273F">
        <w:noBreakHyphen/>
        <w:t>2 mg/g</w:t>
      </w:r>
      <w:r>
        <w:t>ram</w:t>
      </w:r>
      <w:r w:rsidRPr="0040273F">
        <w:t xml:space="preserve"> and </w:t>
      </w:r>
      <w:r>
        <w:t xml:space="preserve">that </w:t>
      </w:r>
      <w:r w:rsidRPr="0040273F">
        <w:t xml:space="preserve">the concentration of </w:t>
      </w:r>
      <w:r w:rsidR="00146D1F">
        <w:t>c</w:t>
      </w:r>
      <w:r w:rsidRPr="0040273F">
        <w:t>arnosic acid is 15-25 mg/g</w:t>
      </w:r>
      <w:r>
        <w:t>ram</w:t>
      </w:r>
      <w:r w:rsidRPr="0040273F">
        <w:t xml:space="preserve"> (see</w:t>
      </w:r>
      <w:r w:rsidR="005B5EED">
        <w:t xml:space="preserve"> </w:t>
      </w:r>
      <w:r w:rsidR="005B5EED" w:rsidRPr="00824245">
        <w:fldChar w:fldCharType="begin"/>
      </w:r>
      <w:r w:rsidR="005B5EED" w:rsidRPr="00824245">
        <w:instrText xml:space="preserve"> REF _Ref517120366 \h </w:instrText>
      </w:r>
      <w:r w:rsidR="00824245" w:rsidRPr="00824245">
        <w:instrText xml:space="preserve"> \* MERGEFORMAT </w:instrText>
      </w:r>
      <w:r w:rsidR="005B5EED" w:rsidRPr="00824245">
        <w:fldChar w:fldCharType="separate"/>
      </w:r>
      <w:r w:rsidR="004C731A" w:rsidRPr="004C731A">
        <w:t>Table 4.2</w:t>
      </w:r>
      <w:r w:rsidR="005B5EED" w:rsidRPr="00824245">
        <w:fldChar w:fldCharType="end"/>
      </w:r>
      <w:r w:rsidRPr="00824245">
        <w:t>).</w:t>
      </w:r>
      <w:r w:rsidRPr="0040273F">
        <w:t xml:space="preserve"> The concentration of </w:t>
      </w:r>
      <w:r w:rsidR="00146D1F">
        <w:t>c</w:t>
      </w:r>
      <w:r>
        <w:t xml:space="preserve">arnosic acid plus </w:t>
      </w:r>
      <w:r w:rsidR="00146D1F">
        <w:t>c</w:t>
      </w:r>
      <w:r>
        <w:t>arnosol</w:t>
      </w:r>
      <w:r w:rsidRPr="0040273F">
        <w:t xml:space="preserve"> in dried rosemary leaves used in the dietary exposure assessment is the mid-point of this range:</w:t>
      </w:r>
      <w:r>
        <w:t xml:space="preserve"> </w:t>
      </w:r>
      <w:r w:rsidRPr="0040273F">
        <w:t>21,</w:t>
      </w:r>
      <w:r>
        <w:t>5</w:t>
      </w:r>
      <w:r w:rsidRPr="0040273F">
        <w:t xml:space="preserve">00 mg/kg. Using a factor of 0.35, derived using the energy content of dried rosemary leaves and fresh rosemary leaves from the nutrient database AUSNUT (FSANZ 2016), the concentration of </w:t>
      </w:r>
      <w:r w:rsidR="00146D1F">
        <w:t>c</w:t>
      </w:r>
      <w:r>
        <w:t xml:space="preserve">arnosic acid plus </w:t>
      </w:r>
      <w:r w:rsidR="00146D1F">
        <w:t>c</w:t>
      </w:r>
      <w:r>
        <w:t>arnosol</w:t>
      </w:r>
      <w:r w:rsidRPr="0040273F">
        <w:t xml:space="preserve"> </w:t>
      </w:r>
      <w:r>
        <w:t>used for</w:t>
      </w:r>
      <w:r w:rsidRPr="0040273F">
        <w:t xml:space="preserve"> fresh rosemary leaves is 7,525 mg/kg.</w:t>
      </w:r>
    </w:p>
    <w:p w14:paraId="7BEB42BB" w14:textId="77777777" w:rsidR="00B75BBB" w:rsidRDefault="00B75BBB" w:rsidP="00717E93">
      <w:bookmarkStart w:id="145" w:name="_Ref508094576"/>
    </w:p>
    <w:p w14:paraId="786E92C1" w14:textId="7C7AAB00" w:rsidR="00B75BBB" w:rsidRPr="00BD2527" w:rsidRDefault="00B75BBB" w:rsidP="00BD2527">
      <w:pPr>
        <w:pStyle w:val="FSTableTitle"/>
        <w:spacing w:after="120"/>
        <w:rPr>
          <w:bCs/>
          <w:i/>
        </w:rPr>
      </w:pPr>
      <w:bookmarkStart w:id="146" w:name="_Ref517120366"/>
      <w:r w:rsidRPr="00BD2527">
        <w:rPr>
          <w:i/>
        </w:rPr>
        <w:t>Table</w:t>
      </w:r>
      <w:r w:rsidR="008F66D7" w:rsidRPr="00BD2527">
        <w:rPr>
          <w:i/>
        </w:rPr>
        <w:t xml:space="preserve"> 4.</w:t>
      </w:r>
      <w:r w:rsidR="00BD2527" w:rsidRPr="00BD2527">
        <w:rPr>
          <w:i/>
        </w:rPr>
        <w:fldChar w:fldCharType="begin"/>
      </w:r>
      <w:r w:rsidR="00BD2527" w:rsidRPr="00BD2527">
        <w:rPr>
          <w:i/>
        </w:rPr>
        <w:instrText xml:space="preserve"> SEQ Table \* ARABIC </w:instrText>
      </w:r>
      <w:r w:rsidR="00BD2527" w:rsidRPr="00BD2527">
        <w:rPr>
          <w:i/>
        </w:rPr>
        <w:fldChar w:fldCharType="separate"/>
      </w:r>
      <w:r w:rsidR="004C731A">
        <w:rPr>
          <w:i/>
          <w:noProof/>
        </w:rPr>
        <w:t>2</w:t>
      </w:r>
      <w:r w:rsidR="00BD2527" w:rsidRPr="00BD2527">
        <w:rPr>
          <w:i/>
          <w:noProof/>
        </w:rPr>
        <w:fldChar w:fldCharType="end"/>
      </w:r>
      <w:bookmarkEnd w:id="145"/>
      <w:bookmarkEnd w:id="146"/>
      <w:r w:rsidRPr="00BD2527">
        <w:rPr>
          <w:i/>
        </w:rPr>
        <w:t xml:space="preserve">: </w:t>
      </w:r>
      <w:r w:rsidR="00BD2527">
        <w:rPr>
          <w:i/>
        </w:rPr>
        <w:t>Concentrations of carnosol and c</w:t>
      </w:r>
      <w:r w:rsidRPr="00BD2527">
        <w:rPr>
          <w:i/>
        </w:rPr>
        <w:t>arnosic acid in dried rosemary leaves</w:t>
      </w:r>
    </w:p>
    <w:tbl>
      <w:tblPr>
        <w:tblStyle w:val="Table"/>
        <w:tblW w:w="5000" w:type="pct"/>
        <w:tblLook w:val="04A0" w:firstRow="1" w:lastRow="0" w:firstColumn="1" w:lastColumn="0" w:noHBand="0" w:noVBand="1"/>
        <w:tblDescription w:val="Proposed maximum levels of use of 2'-FL and LNnT in infant formula, follow-on formula and formulated supplementary foods for young children."/>
      </w:tblPr>
      <w:tblGrid>
        <w:gridCol w:w="4470"/>
        <w:gridCol w:w="1585"/>
        <w:gridCol w:w="3015"/>
      </w:tblGrid>
      <w:tr w:rsidR="00B75BBB" w:rsidRPr="0015469A" w14:paraId="43FC5E28" w14:textId="77777777" w:rsidTr="008F66D7">
        <w:trPr>
          <w:cnfStyle w:val="100000000000" w:firstRow="1" w:lastRow="0" w:firstColumn="0" w:lastColumn="0" w:oddVBand="0" w:evenVBand="0" w:oddHBand="0" w:evenHBand="0" w:firstRowFirstColumn="0" w:firstRowLastColumn="0" w:lastRowFirstColumn="0" w:lastRowLastColumn="0"/>
          <w:trHeight w:val="473"/>
        </w:trPr>
        <w:tc>
          <w:tcPr>
            <w:tcW w:w="2464" w:type="pct"/>
          </w:tcPr>
          <w:p w14:paraId="4500FC9C" w14:textId="77777777" w:rsidR="00B75BBB" w:rsidRPr="0015469A" w:rsidRDefault="00B75BBB" w:rsidP="008461F5">
            <w:pPr>
              <w:keepNext/>
              <w:keepLines/>
              <w:spacing w:before="60" w:after="60"/>
              <w:rPr>
                <w:rFonts w:cs="Arial"/>
                <w:bCs/>
                <w:sz w:val="20"/>
                <w:szCs w:val="20"/>
              </w:rPr>
            </w:pPr>
            <w:r w:rsidRPr="0015469A">
              <w:rPr>
                <w:rFonts w:cs="Arial"/>
                <w:bCs/>
                <w:sz w:val="20"/>
                <w:szCs w:val="20"/>
              </w:rPr>
              <w:t>Component</w:t>
            </w:r>
          </w:p>
        </w:tc>
        <w:tc>
          <w:tcPr>
            <w:tcW w:w="2536" w:type="pct"/>
            <w:gridSpan w:val="2"/>
          </w:tcPr>
          <w:p w14:paraId="51E7C84F" w14:textId="18A4FFCD" w:rsidR="00B75BBB" w:rsidRPr="0015469A" w:rsidRDefault="00B75BBB" w:rsidP="00146D1F">
            <w:pPr>
              <w:keepNext/>
              <w:keepLines/>
              <w:spacing w:before="60" w:after="60"/>
              <w:jc w:val="center"/>
              <w:rPr>
                <w:rFonts w:cs="Arial"/>
                <w:bCs/>
                <w:sz w:val="20"/>
                <w:szCs w:val="20"/>
              </w:rPr>
            </w:pPr>
            <w:r w:rsidRPr="0015469A">
              <w:rPr>
                <w:rFonts w:cs="Arial"/>
                <w:bCs/>
                <w:sz w:val="20"/>
                <w:szCs w:val="20"/>
              </w:rPr>
              <w:t xml:space="preserve">Concentration of </w:t>
            </w:r>
            <w:r w:rsidR="00146D1F" w:rsidRPr="0015469A">
              <w:rPr>
                <w:rFonts w:cs="Arial"/>
                <w:bCs/>
                <w:sz w:val="20"/>
                <w:szCs w:val="20"/>
              </w:rPr>
              <w:t>c</w:t>
            </w:r>
            <w:r w:rsidRPr="0015469A">
              <w:rPr>
                <w:rFonts w:cs="Arial"/>
                <w:bCs/>
                <w:sz w:val="20"/>
                <w:szCs w:val="20"/>
              </w:rPr>
              <w:t xml:space="preserve">arnosic acid plus </w:t>
            </w:r>
            <w:r w:rsidR="00146D1F" w:rsidRPr="0015469A">
              <w:rPr>
                <w:rFonts w:cs="Arial"/>
                <w:bCs/>
                <w:sz w:val="20"/>
                <w:szCs w:val="20"/>
              </w:rPr>
              <w:t>c</w:t>
            </w:r>
            <w:r w:rsidRPr="0015469A">
              <w:rPr>
                <w:rFonts w:cs="Arial"/>
                <w:bCs/>
                <w:sz w:val="20"/>
                <w:szCs w:val="20"/>
              </w:rPr>
              <w:t>arnosol in dried rosemary leaves</w:t>
            </w:r>
          </w:p>
        </w:tc>
      </w:tr>
      <w:tr w:rsidR="00B75BBB" w:rsidRPr="0015469A" w14:paraId="60573609" w14:textId="77777777" w:rsidTr="00BD2527">
        <w:trPr>
          <w:cnfStyle w:val="000000100000" w:firstRow="0" w:lastRow="0" w:firstColumn="0" w:lastColumn="0" w:oddVBand="0" w:evenVBand="0" w:oddHBand="1" w:evenHBand="0" w:firstRowFirstColumn="0" w:firstRowLastColumn="0" w:lastRowFirstColumn="0" w:lastRowLastColumn="0"/>
          <w:trHeight w:val="20"/>
        </w:trPr>
        <w:tc>
          <w:tcPr>
            <w:tcW w:w="2464" w:type="pct"/>
            <w:vAlign w:val="center"/>
          </w:tcPr>
          <w:p w14:paraId="43B50E1B" w14:textId="77777777" w:rsidR="00B75BBB" w:rsidRPr="0015469A" w:rsidRDefault="00B75BBB" w:rsidP="00BD2527">
            <w:pPr>
              <w:keepNext/>
              <w:keepLines/>
              <w:spacing w:before="60" w:after="60"/>
              <w:rPr>
                <w:rFonts w:cs="Arial"/>
                <w:bCs/>
                <w:sz w:val="20"/>
                <w:szCs w:val="20"/>
              </w:rPr>
            </w:pPr>
          </w:p>
        </w:tc>
        <w:tc>
          <w:tcPr>
            <w:tcW w:w="874" w:type="pct"/>
            <w:vAlign w:val="center"/>
          </w:tcPr>
          <w:p w14:paraId="13EAF907" w14:textId="77777777" w:rsidR="00B75BBB" w:rsidRPr="0015469A" w:rsidRDefault="00B75BBB" w:rsidP="00BD2527">
            <w:pPr>
              <w:keepNext/>
              <w:keepLines/>
              <w:spacing w:before="60" w:after="60"/>
              <w:jc w:val="center"/>
              <w:rPr>
                <w:rFonts w:cs="Arial"/>
                <w:b/>
                <w:bCs/>
                <w:sz w:val="20"/>
                <w:szCs w:val="20"/>
              </w:rPr>
            </w:pPr>
            <w:r w:rsidRPr="0015469A">
              <w:rPr>
                <w:rFonts w:cs="Arial"/>
                <w:b/>
                <w:bCs/>
                <w:sz w:val="20"/>
                <w:szCs w:val="20"/>
              </w:rPr>
              <w:t>mg/g</w:t>
            </w:r>
          </w:p>
        </w:tc>
        <w:tc>
          <w:tcPr>
            <w:tcW w:w="1661" w:type="pct"/>
            <w:vAlign w:val="center"/>
          </w:tcPr>
          <w:p w14:paraId="38604581" w14:textId="77777777" w:rsidR="00B75BBB" w:rsidRPr="0015469A" w:rsidRDefault="00B75BBB" w:rsidP="00BD2527">
            <w:pPr>
              <w:keepNext/>
              <w:keepLines/>
              <w:spacing w:before="60" w:after="60"/>
              <w:jc w:val="center"/>
              <w:rPr>
                <w:rFonts w:cs="Arial"/>
                <w:b/>
                <w:bCs/>
                <w:sz w:val="20"/>
                <w:szCs w:val="20"/>
              </w:rPr>
            </w:pPr>
            <w:r w:rsidRPr="0015469A">
              <w:rPr>
                <w:rFonts w:cs="Arial"/>
                <w:b/>
                <w:bCs/>
                <w:sz w:val="20"/>
                <w:szCs w:val="20"/>
              </w:rPr>
              <w:t>mg/kg</w:t>
            </w:r>
          </w:p>
        </w:tc>
      </w:tr>
      <w:tr w:rsidR="00B75BBB" w:rsidRPr="0015469A" w14:paraId="3BA4360D" w14:textId="77777777" w:rsidTr="00BD2527">
        <w:trPr>
          <w:cnfStyle w:val="000000010000" w:firstRow="0" w:lastRow="0" w:firstColumn="0" w:lastColumn="0" w:oddVBand="0" w:evenVBand="0" w:oddHBand="0" w:evenHBand="1" w:firstRowFirstColumn="0" w:firstRowLastColumn="0" w:lastRowFirstColumn="0" w:lastRowLastColumn="0"/>
          <w:trHeight w:val="20"/>
        </w:trPr>
        <w:tc>
          <w:tcPr>
            <w:tcW w:w="2464" w:type="pct"/>
            <w:vAlign w:val="center"/>
          </w:tcPr>
          <w:p w14:paraId="0CC0DEC0" w14:textId="77777777" w:rsidR="00B75BBB" w:rsidRPr="0015469A" w:rsidRDefault="00B75BBB" w:rsidP="00BD2527">
            <w:pPr>
              <w:keepNext/>
              <w:keepLines/>
              <w:spacing w:after="60"/>
              <w:rPr>
                <w:rFonts w:cs="Arial"/>
                <w:b/>
                <w:bCs/>
                <w:sz w:val="20"/>
                <w:szCs w:val="20"/>
              </w:rPr>
            </w:pPr>
            <w:r w:rsidRPr="0015469A">
              <w:rPr>
                <w:rFonts w:cs="Arial"/>
                <w:b/>
                <w:sz w:val="20"/>
                <w:szCs w:val="20"/>
              </w:rPr>
              <w:t>Carnosol</w:t>
            </w:r>
          </w:p>
        </w:tc>
        <w:tc>
          <w:tcPr>
            <w:tcW w:w="874" w:type="pct"/>
            <w:vAlign w:val="center"/>
          </w:tcPr>
          <w:p w14:paraId="5E2E194E"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 – 2</w:t>
            </w:r>
          </w:p>
        </w:tc>
        <w:tc>
          <w:tcPr>
            <w:tcW w:w="1661" w:type="pct"/>
            <w:vAlign w:val="center"/>
          </w:tcPr>
          <w:p w14:paraId="298DAFF6"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1,000 – 2,000</w:t>
            </w:r>
          </w:p>
        </w:tc>
      </w:tr>
      <w:tr w:rsidR="00B75BBB" w:rsidRPr="0015469A" w14:paraId="4D6DE8C8" w14:textId="77777777" w:rsidTr="00BD2527">
        <w:trPr>
          <w:cnfStyle w:val="000000100000" w:firstRow="0" w:lastRow="0" w:firstColumn="0" w:lastColumn="0" w:oddVBand="0" w:evenVBand="0" w:oddHBand="1" w:evenHBand="0" w:firstRowFirstColumn="0" w:firstRowLastColumn="0" w:lastRowFirstColumn="0" w:lastRowLastColumn="0"/>
          <w:trHeight w:val="20"/>
        </w:trPr>
        <w:tc>
          <w:tcPr>
            <w:tcW w:w="2464" w:type="pct"/>
            <w:vAlign w:val="center"/>
          </w:tcPr>
          <w:p w14:paraId="25BA67B7" w14:textId="77777777" w:rsidR="00B75BBB" w:rsidRPr="0015469A" w:rsidRDefault="00B75BBB" w:rsidP="00BD2527">
            <w:pPr>
              <w:keepNext/>
              <w:keepLines/>
              <w:spacing w:after="60"/>
              <w:rPr>
                <w:rFonts w:cs="Arial"/>
                <w:b/>
                <w:bCs/>
                <w:sz w:val="20"/>
                <w:szCs w:val="20"/>
              </w:rPr>
            </w:pPr>
            <w:r w:rsidRPr="0015469A">
              <w:rPr>
                <w:rFonts w:cs="Arial"/>
                <w:b/>
                <w:sz w:val="20"/>
                <w:szCs w:val="20"/>
              </w:rPr>
              <w:t>Carnosic acid</w:t>
            </w:r>
          </w:p>
        </w:tc>
        <w:tc>
          <w:tcPr>
            <w:tcW w:w="874" w:type="pct"/>
            <w:vAlign w:val="center"/>
          </w:tcPr>
          <w:p w14:paraId="7B29ACE5"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15 – 25</w:t>
            </w:r>
          </w:p>
        </w:tc>
        <w:tc>
          <w:tcPr>
            <w:tcW w:w="1661" w:type="pct"/>
            <w:vAlign w:val="center"/>
          </w:tcPr>
          <w:p w14:paraId="08DAD018"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15,000 – 25,000</w:t>
            </w:r>
          </w:p>
        </w:tc>
      </w:tr>
      <w:tr w:rsidR="00B75BBB" w:rsidRPr="0015469A" w14:paraId="336A8783" w14:textId="77777777" w:rsidTr="00BD2527">
        <w:trPr>
          <w:cnfStyle w:val="000000010000" w:firstRow="0" w:lastRow="0" w:firstColumn="0" w:lastColumn="0" w:oddVBand="0" w:evenVBand="0" w:oddHBand="0" w:evenHBand="1" w:firstRowFirstColumn="0" w:firstRowLastColumn="0" w:lastRowFirstColumn="0" w:lastRowLastColumn="0"/>
          <w:trHeight w:val="20"/>
        </w:trPr>
        <w:tc>
          <w:tcPr>
            <w:tcW w:w="2464" w:type="pct"/>
            <w:vAlign w:val="center"/>
          </w:tcPr>
          <w:p w14:paraId="0C88261D" w14:textId="679B5BE4" w:rsidR="00B75BBB" w:rsidRPr="0015469A" w:rsidRDefault="00B75BBB" w:rsidP="00BD2527">
            <w:pPr>
              <w:keepNext/>
              <w:keepLines/>
              <w:spacing w:after="60"/>
              <w:rPr>
                <w:rFonts w:cs="Arial"/>
                <w:b/>
                <w:bCs/>
                <w:sz w:val="20"/>
                <w:szCs w:val="20"/>
              </w:rPr>
            </w:pPr>
            <w:r w:rsidRPr="0015469A">
              <w:rPr>
                <w:rFonts w:cs="Arial"/>
                <w:b/>
                <w:bCs/>
                <w:sz w:val="20"/>
                <w:szCs w:val="20"/>
              </w:rPr>
              <w:t xml:space="preserve">Carnosic acid plus </w:t>
            </w:r>
            <w:r w:rsidR="00146D1F" w:rsidRPr="0015469A">
              <w:rPr>
                <w:rFonts w:cs="Arial"/>
                <w:b/>
                <w:bCs/>
                <w:sz w:val="20"/>
                <w:szCs w:val="20"/>
              </w:rPr>
              <w:t>c</w:t>
            </w:r>
            <w:r w:rsidRPr="0015469A">
              <w:rPr>
                <w:rFonts w:cs="Arial"/>
                <w:b/>
                <w:bCs/>
                <w:sz w:val="20"/>
                <w:szCs w:val="20"/>
              </w:rPr>
              <w:t>arnosol</w:t>
            </w:r>
          </w:p>
        </w:tc>
        <w:tc>
          <w:tcPr>
            <w:tcW w:w="874" w:type="pct"/>
            <w:vAlign w:val="center"/>
          </w:tcPr>
          <w:p w14:paraId="5E2AD7C3"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16 – 27</w:t>
            </w:r>
          </w:p>
        </w:tc>
        <w:tc>
          <w:tcPr>
            <w:tcW w:w="1661" w:type="pct"/>
            <w:vAlign w:val="center"/>
          </w:tcPr>
          <w:p w14:paraId="2CA43AA5" w14:textId="77777777" w:rsidR="00B75BBB" w:rsidRPr="0015469A" w:rsidRDefault="00B75BBB" w:rsidP="00BD2527">
            <w:pPr>
              <w:keepNext/>
              <w:keepLines/>
              <w:spacing w:before="60" w:after="60"/>
              <w:jc w:val="center"/>
              <w:rPr>
                <w:rFonts w:cs="Arial"/>
                <w:bCs/>
                <w:sz w:val="20"/>
                <w:szCs w:val="20"/>
              </w:rPr>
            </w:pPr>
            <w:r w:rsidRPr="0015469A">
              <w:rPr>
                <w:rFonts w:cs="Arial"/>
                <w:bCs/>
                <w:sz w:val="20"/>
                <w:szCs w:val="20"/>
              </w:rPr>
              <w:t>16,000 – 27,000</w:t>
            </w:r>
          </w:p>
        </w:tc>
      </w:tr>
    </w:tbl>
    <w:p w14:paraId="1882CF4F" w14:textId="534B1925" w:rsidR="00B75BBB" w:rsidRPr="0040273F" w:rsidRDefault="00B75BBB" w:rsidP="00B75BBB">
      <w:pPr>
        <w:pStyle w:val="Heading5"/>
      </w:pPr>
      <w:bookmarkStart w:id="147" w:name="_Ref510778089"/>
      <w:r>
        <w:t>4.1.1.2</w:t>
      </w:r>
      <w:r>
        <w:tab/>
      </w:r>
      <w:r w:rsidRPr="0040273F">
        <w:t>Current uses of rosemary extract in foods in the Australian and New Zealand food supplies</w:t>
      </w:r>
      <w:bookmarkEnd w:id="147"/>
    </w:p>
    <w:p w14:paraId="5CBBB998" w14:textId="5EC06334" w:rsidR="00B75BBB" w:rsidRDefault="00BD2527" w:rsidP="00B75BBB">
      <w:r>
        <w:t>Currently</w:t>
      </w:r>
      <w:r w:rsidR="00F036AC">
        <w:t>, r</w:t>
      </w:r>
      <w:r w:rsidR="00521EE9">
        <w:t>osemary extract</w:t>
      </w:r>
      <w:r>
        <w:t xml:space="preserve"> may be used as </w:t>
      </w:r>
      <w:r w:rsidR="00521EE9">
        <w:t>a flavouring</w:t>
      </w:r>
      <w:r>
        <w:t xml:space="preserve"> in foods sold in Australia and New Zealand</w:t>
      </w:r>
      <w:r w:rsidR="00B75BBB">
        <w:t xml:space="preserve"> </w:t>
      </w:r>
      <w:r w:rsidR="004F277B">
        <w:t>(see Section 2.1.2)</w:t>
      </w:r>
      <w:r w:rsidR="00B75BBB" w:rsidRPr="00FE5BA8">
        <w:t xml:space="preserve">. </w:t>
      </w:r>
      <w:r w:rsidR="00B75BBB">
        <w:t xml:space="preserve">JECFA did not include non-antioxidant uses of rosemary extract in its assessment of dietary exposures to </w:t>
      </w:r>
      <w:r w:rsidR="0048026B">
        <w:t>carnosic acid plus carnosol</w:t>
      </w:r>
      <w:r w:rsidR="00B75BBB">
        <w:t xml:space="preserve"> at its 82</w:t>
      </w:r>
      <w:r w:rsidR="00B75BBB" w:rsidRPr="0093432D">
        <w:rPr>
          <w:vertAlign w:val="superscript"/>
        </w:rPr>
        <w:t>nd</w:t>
      </w:r>
      <w:r w:rsidR="00B75BBB">
        <w:t xml:space="preserve"> meeting, citing that flavouring essences are</w:t>
      </w:r>
      <w:r w:rsidR="009F597A">
        <w:t xml:space="preserve"> not</w:t>
      </w:r>
      <w:r w:rsidR="00B75BBB">
        <w:t xml:space="preserve"> likely to be used regularly and that dried rosemary and flavouring essences were</w:t>
      </w:r>
      <w:r w:rsidR="00F036AC">
        <w:t xml:space="preserve"> not</w:t>
      </w:r>
      <w:r w:rsidR="00B75BBB">
        <w:t xml:space="preserve"> likely to significantly affect estimated dietary exposures to </w:t>
      </w:r>
      <w:r w:rsidR="0048026B">
        <w:t>carnosic acid plus carnosol</w:t>
      </w:r>
      <w:r w:rsidR="00B75BBB">
        <w:t xml:space="preserve"> (WHO, 2017). FSANZ has considered the contribution of antioxidant uses of rosemary extract with and without the contribution of rosemary leaves to </w:t>
      </w:r>
      <w:r w:rsidR="0048026B">
        <w:t>carnosic acid plus carnosol</w:t>
      </w:r>
      <w:r w:rsidR="00B75BBB">
        <w:t xml:space="preserve"> dietary exposures. Dietary exposures from flavours were also not included in the assessment by FSANZ given there is no quantitative data available on where and how much is used, and the likely small contribution to estimates of dietary exposure.</w:t>
      </w:r>
    </w:p>
    <w:p w14:paraId="5B26437D" w14:textId="5590D243" w:rsidR="00B75BBB" w:rsidRPr="00A54CCE" w:rsidRDefault="00B75BBB" w:rsidP="00B75BBB">
      <w:pPr>
        <w:pStyle w:val="Heading5"/>
      </w:pPr>
      <w:bookmarkStart w:id="148" w:name="_Toc415041925"/>
      <w:r>
        <w:t>4.1.1.3</w:t>
      </w:r>
      <w:r>
        <w:tab/>
      </w:r>
      <w:r w:rsidRPr="00A54CCE">
        <w:t xml:space="preserve">Proposed concentrations of </w:t>
      </w:r>
      <w:bookmarkEnd w:id="148"/>
      <w:r w:rsidR="0048026B">
        <w:t>c</w:t>
      </w:r>
      <w:r w:rsidRPr="00BE310C">
        <w:t>arnosic</w:t>
      </w:r>
      <w:r>
        <w:t xml:space="preserve"> acid plus </w:t>
      </w:r>
      <w:r w:rsidR="0048026B">
        <w:t>c</w:t>
      </w:r>
      <w:r>
        <w:t>arnosol as a food additive</w:t>
      </w:r>
      <w:r w:rsidRPr="00A54CCE">
        <w:t xml:space="preserve"> in foods</w:t>
      </w:r>
    </w:p>
    <w:p w14:paraId="65F808B8" w14:textId="40C37571" w:rsidR="00B75BBB" w:rsidRDefault="00B75BBB" w:rsidP="00B75BBB">
      <w:pPr>
        <w:rPr>
          <w:bCs/>
        </w:rPr>
      </w:pPr>
      <w:r w:rsidRPr="00A54CCE">
        <w:rPr>
          <w:bCs/>
        </w:rPr>
        <w:t xml:space="preserve">The food categories requested in the </w:t>
      </w:r>
      <w:r w:rsidR="005D6D72">
        <w:rPr>
          <w:bCs/>
        </w:rPr>
        <w:t>a</w:t>
      </w:r>
      <w:r w:rsidRPr="00A54CCE">
        <w:rPr>
          <w:bCs/>
        </w:rPr>
        <w:t xml:space="preserve">pplication to contain </w:t>
      </w:r>
      <w:r w:rsidRPr="00A54CCE">
        <w:t>Rosemary extract (</w:t>
      </w:r>
      <w:r w:rsidR="00146D1F">
        <w:t>c</w:t>
      </w:r>
      <w:r>
        <w:t xml:space="preserve">arnosic acid plus </w:t>
      </w:r>
      <w:r w:rsidR="00146D1F">
        <w:t>c</w:t>
      </w:r>
      <w:r>
        <w:t>arnosol</w:t>
      </w:r>
      <w:r w:rsidRPr="00A54CCE">
        <w:t>)</w:t>
      </w:r>
      <w:r w:rsidRPr="00A54CCE">
        <w:rPr>
          <w:bCs/>
        </w:rPr>
        <w:t xml:space="preserve"> </w:t>
      </w:r>
      <w:r>
        <w:rPr>
          <w:bCs/>
        </w:rPr>
        <w:t xml:space="preserve">as a food additive </w:t>
      </w:r>
      <w:r w:rsidRPr="00A54CCE">
        <w:rPr>
          <w:bCs/>
        </w:rPr>
        <w:t xml:space="preserve">and their </w:t>
      </w:r>
      <w:r w:rsidR="008F4C11">
        <w:rPr>
          <w:bCs/>
        </w:rPr>
        <w:t xml:space="preserve">proposed </w:t>
      </w:r>
      <w:r w:rsidRPr="00A54CCE">
        <w:rPr>
          <w:bCs/>
        </w:rPr>
        <w:t xml:space="preserve">MPLs </w:t>
      </w:r>
      <w:r w:rsidR="00F7680B">
        <w:rPr>
          <w:bCs/>
        </w:rPr>
        <w:t xml:space="preserve">(including the updated MPLs where relevant as a result of the Call for Submissions) </w:t>
      </w:r>
      <w:r w:rsidRPr="00A54CCE">
        <w:rPr>
          <w:bCs/>
        </w:rPr>
        <w:t>are listed</w:t>
      </w:r>
      <w:r w:rsidR="00783140">
        <w:rPr>
          <w:bCs/>
        </w:rPr>
        <w:t xml:space="preserve"> in Table 4.</w:t>
      </w:r>
      <w:r w:rsidR="00DA0163">
        <w:rPr>
          <w:bCs/>
        </w:rPr>
        <w:t>4</w:t>
      </w:r>
      <w:r w:rsidR="00783140">
        <w:rPr>
          <w:bCs/>
        </w:rPr>
        <w:t xml:space="preserve"> Th</w:t>
      </w:r>
      <w:r>
        <w:rPr>
          <w:bCs/>
        </w:rPr>
        <w:t xml:space="preserve">e </w:t>
      </w:r>
      <w:r w:rsidR="00146D1F">
        <w:rPr>
          <w:bCs/>
        </w:rPr>
        <w:t>a</w:t>
      </w:r>
      <w:r>
        <w:rPr>
          <w:bCs/>
        </w:rPr>
        <w:t xml:space="preserve">pplicant </w:t>
      </w:r>
      <w:r>
        <w:rPr>
          <w:bCs/>
        </w:rPr>
        <w:lastRenderedPageBreak/>
        <w:t xml:space="preserve">also provided </w:t>
      </w:r>
      <w:r w:rsidR="008F4C11">
        <w:rPr>
          <w:bCs/>
        </w:rPr>
        <w:t xml:space="preserve">potential </w:t>
      </w:r>
      <w:r>
        <w:rPr>
          <w:bCs/>
        </w:rPr>
        <w:t>Usual Use levels for rosemary extract as an antioxidant in various food categories: 80% MPL in fats and oils and 50% MPL in other food categories. These concentrations are also listed in</w:t>
      </w:r>
      <w:r w:rsidR="00783140">
        <w:rPr>
          <w:bCs/>
        </w:rPr>
        <w:t xml:space="preserve"> Table 4.</w:t>
      </w:r>
      <w:r w:rsidR="00DA0163">
        <w:rPr>
          <w:bCs/>
        </w:rPr>
        <w:t>4</w:t>
      </w:r>
      <w:r>
        <w:rPr>
          <w:bCs/>
        </w:rPr>
        <w:t xml:space="preserve"> Estimates of dietary exposure were calculated using the </w:t>
      </w:r>
      <w:r w:rsidR="008F4C11">
        <w:rPr>
          <w:bCs/>
        </w:rPr>
        <w:t xml:space="preserve">proposed </w:t>
      </w:r>
      <w:r>
        <w:rPr>
          <w:bCs/>
        </w:rPr>
        <w:t>MPLs and separately using the Usual Use levels.</w:t>
      </w:r>
    </w:p>
    <w:p w14:paraId="2965C92B" w14:textId="77777777" w:rsidR="00B75BBB" w:rsidRDefault="00B75BBB" w:rsidP="00B75BBB">
      <w:pPr>
        <w:rPr>
          <w:bCs/>
        </w:rPr>
      </w:pPr>
    </w:p>
    <w:p w14:paraId="777373C6" w14:textId="5F7A1F1A" w:rsidR="00B75BBB" w:rsidRDefault="00B75BBB" w:rsidP="00B75BBB">
      <w:r w:rsidRPr="00DD12D8">
        <w:t xml:space="preserve">The food category codes used by the </w:t>
      </w:r>
      <w:r w:rsidR="00146D1F">
        <w:t>a</w:t>
      </w:r>
      <w:r w:rsidRPr="00DD12D8">
        <w:t xml:space="preserve">pplicant were based on the Australia New Zealand Food Classification System (ANZFCS) in Standard 1.3.1 – Food Additives </w:t>
      </w:r>
      <w:r>
        <w:t>of</w:t>
      </w:r>
      <w:r w:rsidRPr="00DD12D8">
        <w:t xml:space="preserve"> the Code and its related Schedules. However, the food classification codes in Harvest can vary and may also be split into sub-groups. To assess the populations’ dietary </w:t>
      </w:r>
      <w:r>
        <w:t xml:space="preserve">exposures to </w:t>
      </w:r>
      <w:r w:rsidR="00146D1F">
        <w:t>c</w:t>
      </w:r>
      <w:r>
        <w:t xml:space="preserve">arnosic acid plus </w:t>
      </w:r>
      <w:r w:rsidR="00146D1F">
        <w:t>c</w:t>
      </w:r>
      <w:r>
        <w:t>arnosol</w:t>
      </w:r>
      <w:r w:rsidRPr="00DD12D8">
        <w:t xml:space="preserve">, the food categories proposed by the </w:t>
      </w:r>
      <w:r w:rsidR="00FB2494">
        <w:t>a</w:t>
      </w:r>
      <w:r w:rsidRPr="00DD12D8">
        <w:t xml:space="preserve">pplicant </w:t>
      </w:r>
      <w:r>
        <w:t xml:space="preserve">and the data provided on naturally-occurring </w:t>
      </w:r>
      <w:r w:rsidR="00146D1F">
        <w:t>c</w:t>
      </w:r>
      <w:r>
        <w:t xml:space="preserve">arnosic acid plus </w:t>
      </w:r>
      <w:r w:rsidR="00146D1F">
        <w:t>c</w:t>
      </w:r>
      <w:r>
        <w:t xml:space="preserve">arnosol in rosemary leaves </w:t>
      </w:r>
      <w:r w:rsidRPr="00DD12D8">
        <w:t xml:space="preserve">were assigned to the relevant Harvest food classification codes. </w:t>
      </w:r>
      <w:r>
        <w:t xml:space="preserve">The categories selected reflect the description of the foods requested by the </w:t>
      </w:r>
      <w:r w:rsidR="00146D1F">
        <w:t>a</w:t>
      </w:r>
      <w:r>
        <w:t>pplicant, not the food additive codes.</w:t>
      </w:r>
    </w:p>
    <w:p w14:paraId="14676571" w14:textId="0FD14F1F" w:rsidR="00717E93" w:rsidRDefault="00717E93" w:rsidP="00717E93">
      <w:pPr>
        <w:pStyle w:val="Heading5"/>
        <w:widowControl/>
        <w:numPr>
          <w:ilvl w:val="3"/>
          <w:numId w:val="0"/>
        </w:numPr>
        <w:spacing w:after="120"/>
        <w:ind w:left="864" w:hanging="864"/>
      </w:pPr>
      <w:r>
        <w:t>4.1.1.4</w:t>
      </w:r>
      <w:r>
        <w:tab/>
        <w:t xml:space="preserve">Scenarios for the dietary exposure </w:t>
      </w:r>
      <w:r w:rsidRPr="00BE310C">
        <w:t>assessment</w:t>
      </w:r>
      <w:r>
        <w:t xml:space="preserve"> for </w:t>
      </w:r>
      <w:r w:rsidR="00146D1F">
        <w:t>c</w:t>
      </w:r>
      <w:r>
        <w:t xml:space="preserve">arnosic acid plus </w:t>
      </w:r>
      <w:r w:rsidR="00146D1F">
        <w:t>c</w:t>
      </w:r>
      <w:r>
        <w:t>arnosol</w:t>
      </w:r>
    </w:p>
    <w:p w14:paraId="5DAB6F53" w14:textId="1454554F" w:rsidR="00717E93" w:rsidRPr="0089168D" w:rsidRDefault="00717E93" w:rsidP="00717E93">
      <w:pPr>
        <w:keepNext/>
        <w:keepLines/>
      </w:pPr>
      <w:r w:rsidRPr="0089168D">
        <w:t>A dietary exposure assessment was conducted for five scenarios (see</w:t>
      </w:r>
      <w:r w:rsidR="00783140">
        <w:t xml:space="preserve"> Figure 4.1): </w:t>
      </w:r>
    </w:p>
    <w:p w14:paraId="14DAA3BD" w14:textId="77777777" w:rsidR="00717E93" w:rsidRPr="00DD2307" w:rsidRDefault="00717E93" w:rsidP="00717E93">
      <w:pPr>
        <w:pStyle w:val="FSBullet1"/>
        <w:spacing w:before="60" w:after="60"/>
      </w:pPr>
      <w:r w:rsidRPr="00DD2307">
        <w:t>Naturally occurring sources only:</w:t>
      </w:r>
    </w:p>
    <w:p w14:paraId="22C8424F" w14:textId="1D6698FD" w:rsidR="00717E93" w:rsidRDefault="00717E93" w:rsidP="00717E93">
      <w:pPr>
        <w:pStyle w:val="FSBullet1"/>
        <w:numPr>
          <w:ilvl w:val="1"/>
          <w:numId w:val="1"/>
        </w:numPr>
        <w:spacing w:before="60" w:after="60"/>
      </w:pPr>
      <w:r>
        <w:rPr>
          <w:i/>
        </w:rPr>
        <w:t xml:space="preserve">‘Naturally-occurring’ </w:t>
      </w:r>
      <w:r>
        <w:t xml:space="preserve">scenario: includes naturally occurring </w:t>
      </w:r>
      <w:r w:rsidR="00146D1F">
        <w:t>c</w:t>
      </w:r>
      <w:r>
        <w:t xml:space="preserve">arnosic acid plus </w:t>
      </w:r>
      <w:r w:rsidR="00146D1F">
        <w:t>c</w:t>
      </w:r>
      <w:r>
        <w:t>arnosol only (i.e. from dried and fresh rosemary leaves only).</w:t>
      </w:r>
    </w:p>
    <w:p w14:paraId="77A49076" w14:textId="419C985D" w:rsidR="00717E93" w:rsidRDefault="00717E93" w:rsidP="00717E93">
      <w:pPr>
        <w:pStyle w:val="FSBullet1"/>
        <w:spacing w:before="60" w:after="60"/>
      </w:pPr>
      <w:r>
        <w:t xml:space="preserve">Rosemary extract used at MPLs. These scenarios represent the most conservative approach. The estimated dietary exposures to </w:t>
      </w:r>
      <w:r w:rsidR="00146D1F">
        <w:t>c</w:t>
      </w:r>
      <w:r>
        <w:t xml:space="preserve">arnosic acid plus </w:t>
      </w:r>
      <w:r w:rsidR="00146D1F">
        <w:t>c</w:t>
      </w:r>
      <w:r>
        <w:t>arnosol from these scenarios are likely to over-estimated dietary exposures for the Australian and New Zealand populations over a period of time:</w:t>
      </w:r>
    </w:p>
    <w:p w14:paraId="7F46EECE" w14:textId="3A687D80" w:rsidR="00717E93" w:rsidRDefault="00717E93" w:rsidP="00717E93">
      <w:pPr>
        <w:pStyle w:val="FSBullet1"/>
        <w:numPr>
          <w:ilvl w:val="1"/>
          <w:numId w:val="1"/>
        </w:numPr>
        <w:spacing w:before="60" w:after="60"/>
      </w:pPr>
      <w:r>
        <w:rPr>
          <w:i/>
        </w:rPr>
        <w:t>‘Added rosemary extract only_MPL’</w:t>
      </w:r>
      <w:r>
        <w:t xml:space="preserve">: includes only the MPLs requested in the </w:t>
      </w:r>
      <w:r w:rsidR="005D6D72">
        <w:t>a</w:t>
      </w:r>
      <w:r>
        <w:t>pplication</w:t>
      </w:r>
      <w:r w:rsidR="00025977">
        <w:t xml:space="preserve"> and the updates as a result of the Call for Submissions</w:t>
      </w:r>
      <w:r>
        <w:t>, at 100% market penetration into each category requested. This scenario does not include the contribution from naturally occurring levels in rosemary leaves.</w:t>
      </w:r>
    </w:p>
    <w:p w14:paraId="5F44636C" w14:textId="06F20B4D" w:rsidR="00717E93" w:rsidRDefault="00717E93" w:rsidP="00717E93">
      <w:pPr>
        <w:pStyle w:val="FSBullet1"/>
        <w:numPr>
          <w:ilvl w:val="1"/>
          <w:numId w:val="1"/>
        </w:numPr>
        <w:spacing w:before="60" w:after="60"/>
      </w:pPr>
      <w:r>
        <w:rPr>
          <w:i/>
        </w:rPr>
        <w:t>‘Naturally-occurring plus added rosemary extract_MPL’</w:t>
      </w:r>
      <w:r>
        <w:t xml:space="preserve">: includes </w:t>
      </w:r>
      <w:r>
        <w:rPr>
          <w:i/>
        </w:rPr>
        <w:t>Naturally-occurring</w:t>
      </w:r>
      <w:r>
        <w:t xml:space="preserve"> scenario plus all MPLs requested in the </w:t>
      </w:r>
      <w:r w:rsidR="00146D1F">
        <w:t>a</w:t>
      </w:r>
      <w:r>
        <w:t>pplication</w:t>
      </w:r>
      <w:r w:rsidR="00025977">
        <w:t xml:space="preserve"> and updated concentrations from the Call for Submissions</w:t>
      </w:r>
      <w:r>
        <w:t>, at 100% market penetration into each category requested.</w:t>
      </w:r>
      <w:r w:rsidRPr="00DD2307">
        <w:t xml:space="preserve"> </w:t>
      </w:r>
      <w:r>
        <w:t>This scenario includes the contribution from naturally occurring levels in rosemary leaves.</w:t>
      </w:r>
    </w:p>
    <w:p w14:paraId="5DA7198C" w14:textId="50695A06" w:rsidR="00717E93" w:rsidRDefault="00717E93" w:rsidP="00717E93">
      <w:pPr>
        <w:pStyle w:val="FSBullet1"/>
        <w:spacing w:before="60" w:after="60"/>
      </w:pPr>
      <w:r>
        <w:t>Rosemary extract used at Usual Use concentrations. Usual U</w:t>
      </w:r>
      <w:r w:rsidRPr="00FD32ED">
        <w:t>se levels for fats and oils is 80% of the MPL. For all other food</w:t>
      </w:r>
      <w:r>
        <w:t xml:space="preserve">s, the Usual Use level </w:t>
      </w:r>
      <w:r w:rsidRPr="00FD32ED">
        <w:t>is 50% of the MPL</w:t>
      </w:r>
      <w:r>
        <w:t xml:space="preserve">. These scenarios reflect a more likely dietary exposure to </w:t>
      </w:r>
      <w:r w:rsidR="00146D1F">
        <w:t>c</w:t>
      </w:r>
      <w:r>
        <w:t xml:space="preserve">arnosic acid plus </w:t>
      </w:r>
      <w:r w:rsidR="00146D1F">
        <w:t>c</w:t>
      </w:r>
      <w:r>
        <w:t>arnosol for the Australian and New Zealand populations over a period of time:</w:t>
      </w:r>
    </w:p>
    <w:p w14:paraId="6E8BFE9A" w14:textId="62846D4A" w:rsidR="00717E93" w:rsidRDefault="00717E93" w:rsidP="00717E93">
      <w:pPr>
        <w:pStyle w:val="FSBullet1"/>
        <w:numPr>
          <w:ilvl w:val="1"/>
          <w:numId w:val="1"/>
        </w:numPr>
        <w:spacing w:before="60" w:after="60"/>
      </w:pPr>
      <w:r>
        <w:rPr>
          <w:i/>
        </w:rPr>
        <w:t>‘Added rosemary extract only_Usual Use’</w:t>
      </w:r>
      <w:r>
        <w:t xml:space="preserve">: includes only the Usual Use levels as provided by the </w:t>
      </w:r>
      <w:r w:rsidR="00146D1F">
        <w:t>a</w:t>
      </w:r>
      <w:r>
        <w:t>pplicant, at 100% market penetration into each category requested. This scenario does not include the contribution from naturally occurring levels in rosemary leaves.</w:t>
      </w:r>
    </w:p>
    <w:p w14:paraId="0BB3459F" w14:textId="7EA42D42" w:rsidR="00717E93" w:rsidRDefault="00717E93" w:rsidP="00717E93">
      <w:pPr>
        <w:pStyle w:val="FSBullet1"/>
        <w:numPr>
          <w:ilvl w:val="1"/>
          <w:numId w:val="1"/>
        </w:numPr>
        <w:spacing w:before="60" w:after="60"/>
      </w:pPr>
      <w:r>
        <w:rPr>
          <w:i/>
        </w:rPr>
        <w:t>‘Naturally-occurring plus added rosemary extract_Usual Use’</w:t>
      </w:r>
      <w:r>
        <w:t xml:space="preserve">: includes </w:t>
      </w:r>
      <w:r>
        <w:rPr>
          <w:i/>
        </w:rPr>
        <w:t>Naturally-occurring</w:t>
      </w:r>
      <w:r>
        <w:t xml:space="preserve"> scenario plus Usual Use levels as provided by the </w:t>
      </w:r>
      <w:r w:rsidR="00146D1F">
        <w:t>a</w:t>
      </w:r>
      <w:r>
        <w:t>pplicant, at 100% market penetration into each category requested.</w:t>
      </w:r>
      <w:r w:rsidRPr="00DD2307">
        <w:t xml:space="preserve"> </w:t>
      </w:r>
      <w:r>
        <w:t>This scenario includes the contribution from naturally occurring levels in rosemary leaves.</w:t>
      </w:r>
    </w:p>
    <w:p w14:paraId="6E293AE5" w14:textId="395F7CA1" w:rsidR="00983FFA" w:rsidRPr="00FE0034" w:rsidRDefault="00983FFA" w:rsidP="005137FA">
      <w:pPr>
        <w:pStyle w:val="Heading3"/>
      </w:pPr>
      <w:bookmarkStart w:id="149" w:name="_Toc517709896"/>
      <w:bookmarkStart w:id="150" w:name="_Toc518388296"/>
      <w:bookmarkStart w:id="151" w:name="_Toc526498385"/>
      <w:r>
        <w:lastRenderedPageBreak/>
        <w:t>4.1.2</w:t>
      </w:r>
      <w:r>
        <w:tab/>
        <w:t>Food c</w:t>
      </w:r>
      <w:r w:rsidRPr="00FE0034">
        <w:t xml:space="preserve">onsumption </w:t>
      </w:r>
      <w:r w:rsidRPr="008461F5">
        <w:t>data</w:t>
      </w:r>
      <w:r w:rsidRPr="00FE0034">
        <w:t xml:space="preserve"> </w:t>
      </w:r>
      <w:r w:rsidRPr="00BE310C">
        <w:t>used</w:t>
      </w:r>
      <w:bookmarkEnd w:id="149"/>
      <w:bookmarkEnd w:id="150"/>
      <w:bookmarkEnd w:id="151"/>
    </w:p>
    <w:p w14:paraId="3EC565CB" w14:textId="77777777" w:rsidR="00983FFA" w:rsidRPr="00C472DB" w:rsidRDefault="00983FFA" w:rsidP="00983FFA">
      <w:pPr>
        <w:keepNext/>
        <w:keepLines/>
      </w:pPr>
      <w:r w:rsidRPr="00C472DB">
        <w:t>The food consumption data used for the dietary e</w:t>
      </w:r>
      <w:r>
        <w:t>xposure</w:t>
      </w:r>
      <w:r w:rsidRPr="00C472DB">
        <w:t xml:space="preserve"> assessments were:</w:t>
      </w:r>
    </w:p>
    <w:p w14:paraId="35DEE74D" w14:textId="77777777" w:rsidR="00983FFA" w:rsidRDefault="00983FFA" w:rsidP="00983FFA">
      <w:pPr>
        <w:pStyle w:val="FSBullet1"/>
        <w:keepNext/>
        <w:keepLines/>
        <w:spacing w:before="60" w:after="120"/>
        <w:ind w:left="499" w:hanging="357"/>
      </w:pPr>
      <w:r w:rsidRPr="008D0B69">
        <w:rPr>
          <w:b/>
        </w:rPr>
        <w:t>2011-12 Australian National Nutrition and Physical Activity Survey (2011-12 NNPAS)</w:t>
      </w:r>
      <w:r w:rsidRPr="00274742">
        <w:t xml:space="preserve">, one 24-hour food recall survey of 12,153 Australians aged 2 years and above, with a second 24-hour recall undertaken for 64% of respondents (ABS, 2014). Only those respondents who had two days of food consumption data (n=7,735) were used in the assessment of dietary exposures to </w:t>
      </w:r>
      <w:r>
        <w:t>carnosic acid plus carnosol</w:t>
      </w:r>
      <w:r w:rsidRPr="00274742">
        <w:t>.</w:t>
      </w:r>
    </w:p>
    <w:p w14:paraId="435C448C" w14:textId="77777777" w:rsidR="00983FFA" w:rsidRPr="00C01243" w:rsidRDefault="00983FFA" w:rsidP="00983FFA">
      <w:pPr>
        <w:pStyle w:val="FSBullet1"/>
        <w:spacing w:after="120"/>
        <w:ind w:left="499" w:hanging="357"/>
      </w:pPr>
      <w:r w:rsidRPr="00373EE8">
        <w:rPr>
          <w:b/>
        </w:rPr>
        <w:t xml:space="preserve">2008–09 New Zealand Adult Nutrition </w:t>
      </w:r>
      <w:r w:rsidRPr="002A190D">
        <w:rPr>
          <w:b/>
        </w:rPr>
        <w:t>Survey (2008 NZ ANS)</w:t>
      </w:r>
      <w:r w:rsidRPr="00373EE8">
        <w:rPr>
          <w:b/>
        </w:rPr>
        <w:t>:</w:t>
      </w:r>
      <w:r w:rsidRPr="00C01243">
        <w:t xml:space="preserve"> a 24-hour recall of 4,721 New Zealanders aged 15 years and above, with a second 24-hour recall undertaken for 25% of respondents. </w:t>
      </w:r>
      <w:r>
        <w:fldChar w:fldCharType="begin"/>
      </w:r>
      <w:r>
        <w:instrText xml:space="preserve"> ADDIN REFMGR.CITE &lt;Refman&gt;&lt;Cite&gt;&lt;Author&gt;Ministry of Health&lt;/Author&gt;&lt;Year&gt;2011&lt;/Year&gt;&lt;RecNum&gt;23&lt;/RecNum&gt;&lt;IDText&gt;Methodology report for the 2008/09 New Zealand Adult Nutrition Survey&lt;/IDText&gt;&lt;MDL Ref_Type="Report"&gt;&lt;Ref_Type&gt;Report&lt;/Ref_Type&gt;&lt;Ref_ID&gt;23&lt;/Ref_ID&gt;&lt;Title_Primary&gt;Methodology report for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978-0-478-37337-0&lt;/f&gt;&lt;/ISSN_ISBN&gt;&lt;ZZ_WorkformID&gt;24&lt;/ZZ_WorkformID&gt;&lt;/MDL&gt;&lt;/Cite&gt;&lt;Cite&gt;&lt;Author&gt;Ministry of Health&lt;/Author&gt;&lt;Year&gt;2011&lt;/Year&gt;&lt;RecNum&gt;24&lt;/RecNum&gt;&lt;IDText&gt;A focus on nutrition: Key findings of the 2008/09 New Zealand Adult Nutrition Survey&lt;/IDText&gt;&lt;MDL Ref_Type="Report"&gt;&lt;Ref_Type&gt;Report&lt;/Ref_Type&gt;&lt;Ref_ID&gt;24&lt;/Ref_ID&gt;&lt;Title_Primary&gt;A focus on nutrition: Key findings of the 2008/09 New Zealand Adult Nutrition Survey&lt;/Title_Primary&gt;&lt;Authors_Primary&gt;Ministry of Health&lt;/Authors_Primary&gt;&lt;Date_Primary&gt;2011&lt;/Date_Primary&gt;&lt;Reprint&gt;Not in File&lt;/Reprint&gt;&lt;Pub_Place&gt;Wellington&lt;/Pub_Place&gt;&lt;Publisher&gt;Ministry of Health&lt;/Publisher&gt;&lt;ISSN_ISBN&gt;&lt;f name="ArialMT"&gt;ISBN 978-0-478-37348-6 (online)&lt;/f&gt;&lt;/ISSN_ISBN&gt;&lt;ZZ_WorkformID&gt;24&lt;/ZZ_WorkformID&gt;&lt;/MDL&gt;&lt;/Cite&gt;&lt;/Refman&gt;</w:instrText>
      </w:r>
      <w:r>
        <w:fldChar w:fldCharType="separate"/>
      </w:r>
      <w:r>
        <w:rPr>
          <w:noProof/>
        </w:rPr>
        <w:t>(Ministry of Health 2011a; Ministry of Health 2011b)</w:t>
      </w:r>
      <w:r>
        <w:fldChar w:fldCharType="end"/>
      </w:r>
      <w:r>
        <w:t>. Only the first day of food consumption data was used in this assessment.</w:t>
      </w:r>
    </w:p>
    <w:p w14:paraId="45BE84F4" w14:textId="77777777" w:rsidR="00983FFA" w:rsidRDefault="00983FFA" w:rsidP="00983FFA">
      <w:pPr>
        <w:pStyle w:val="FSBullet1"/>
        <w:spacing w:after="120"/>
        <w:ind w:left="499" w:hanging="357"/>
      </w:pPr>
      <w:r w:rsidRPr="002A190D">
        <w:rPr>
          <w:b/>
        </w:rPr>
        <w:t>2002 New Zealand National Children’s Nutrition Survey (2002 NZ</w:t>
      </w:r>
      <w:r>
        <w:rPr>
          <w:b/>
        </w:rPr>
        <w:t xml:space="preserve"> </w:t>
      </w:r>
      <w:r w:rsidRPr="002A190D">
        <w:rPr>
          <w:b/>
        </w:rPr>
        <w:t>CNS)</w:t>
      </w:r>
      <w:r w:rsidRPr="00BB6B83">
        <w:t>, one 24-hour food recall covering 3,275 New Zealand school children aged 5-14 years</w:t>
      </w:r>
      <w:r>
        <w:t xml:space="preserve">, </w:t>
      </w:r>
      <w:r w:rsidRPr="00BC485A">
        <w:rPr>
          <w:lang w:eastAsia="en-AU"/>
        </w:rPr>
        <w:t>with 25% of respondents also completing a second 24-hour recall.</w:t>
      </w:r>
      <w:r>
        <w:rPr>
          <w:lang w:eastAsia="en-AU"/>
        </w:rPr>
        <w:t xml:space="preserve"> </w:t>
      </w:r>
      <w:r>
        <w:t>Only the first day of food consumption data was used in this assessment.</w:t>
      </w:r>
    </w:p>
    <w:p w14:paraId="38FF532B" w14:textId="24DED847" w:rsidR="00983FFA" w:rsidRDefault="00983FFA" w:rsidP="00983FFA">
      <w:r>
        <w:t>The design of these</w:t>
      </w:r>
      <w:r w:rsidRPr="00E1781E">
        <w:t xml:space="preserve"> nutrition survey</w:t>
      </w:r>
      <w:r>
        <w:t>s</w:t>
      </w:r>
      <w:r w:rsidRPr="00E1781E">
        <w:t xml:space="preserve"> and the key attributes, including survey limitations, are set out in</w:t>
      </w:r>
      <w:r>
        <w:t xml:space="preserve"> Appendix 1.</w:t>
      </w:r>
    </w:p>
    <w:p w14:paraId="141BE4B4" w14:textId="166FF011" w:rsidR="0047310C" w:rsidRDefault="0047310C" w:rsidP="00983FFA"/>
    <w:p w14:paraId="5F596B9B" w14:textId="05CC040C" w:rsidR="0047310C" w:rsidRPr="0047310C" w:rsidRDefault="0047310C" w:rsidP="00983FFA">
      <w:r w:rsidRPr="00492F84">
        <w:rPr>
          <w:rFonts w:cs="Arial"/>
          <w:iCs/>
          <w:szCs w:val="22"/>
        </w:rPr>
        <w:t>One day of food consumption data from both of the NZ surveys were used for the dietary exposure assessment whereas the average of two days of data from the 2011-12 NNPAS was used for Australia. The two day average exposures better reflect longer term estimates of dietary exposure and therefore are a better estimate of chronic dietary exposure</w:t>
      </w:r>
      <w:r w:rsidRPr="0047310C">
        <w:rPr>
          <w:rFonts w:cs="Arial"/>
          <w:iCs/>
          <w:sz w:val="24"/>
        </w:rPr>
        <w:t>.</w:t>
      </w:r>
    </w:p>
    <w:p w14:paraId="362659E2" w14:textId="77777777" w:rsidR="00983FFA" w:rsidRDefault="00983FFA" w:rsidP="00983FFA"/>
    <w:p w14:paraId="4E483D67" w14:textId="145F7D7B" w:rsidR="00983FFA" w:rsidRDefault="00983FFA" w:rsidP="00783140">
      <w:r w:rsidRPr="002A190D">
        <w:t xml:space="preserve">The hazard identification and characterisation did not identify any population sub-groups for which there were specific safety considerations in relation to dietary exposure to </w:t>
      </w:r>
      <w:r>
        <w:t>c</w:t>
      </w:r>
      <w:r w:rsidRPr="002A190D">
        <w:t xml:space="preserve">arnosic acid plus </w:t>
      </w:r>
      <w:r>
        <w:t>c</w:t>
      </w:r>
      <w:r w:rsidRPr="002A190D">
        <w:t>arnosol.</w:t>
      </w:r>
      <w:r>
        <w:t xml:space="preserve"> T</w:t>
      </w:r>
      <w:r w:rsidRPr="00C439CB">
        <w:t xml:space="preserve">he food categories requested in the </w:t>
      </w:r>
      <w:r w:rsidR="005D6D72">
        <w:t>a</w:t>
      </w:r>
      <w:r w:rsidRPr="00C439CB">
        <w:t xml:space="preserve">pplication for addition of </w:t>
      </w:r>
      <w:r>
        <w:t>Rosemary extract</w:t>
      </w:r>
      <w:r w:rsidRPr="00C439CB">
        <w:t xml:space="preserve"> are consumed by </w:t>
      </w:r>
      <w:r>
        <w:t xml:space="preserve">most </w:t>
      </w:r>
      <w:r w:rsidRPr="0089423F">
        <w:t>of</w:t>
      </w:r>
      <w:r w:rsidRPr="00C439CB">
        <w:t xml:space="preserve"> the Australian and New Zealand </w:t>
      </w:r>
      <w:r w:rsidRPr="006B3251">
        <w:t>populations. The</w:t>
      </w:r>
      <w:r>
        <w:t>refore, the whole survey</w:t>
      </w:r>
      <w:r w:rsidRPr="006B3251">
        <w:t xml:space="preserve"> population </w:t>
      </w:r>
      <w:r>
        <w:t xml:space="preserve">from each of the nutrition surveys </w:t>
      </w:r>
      <w:r w:rsidRPr="00CF3694">
        <w:t>were used for the dietary e</w:t>
      </w:r>
      <w:r>
        <w:t>xposure</w:t>
      </w:r>
      <w:r w:rsidRPr="00CF3694">
        <w:t xml:space="preserve"> assessment</w:t>
      </w:r>
      <w:r w:rsidR="002130C7">
        <w:t xml:space="preserve"> (</w:t>
      </w:r>
      <w:r w:rsidR="00783140">
        <w:t>Table 4.</w:t>
      </w:r>
      <w:r w:rsidR="00DA0163">
        <w:t>4).</w:t>
      </w:r>
    </w:p>
    <w:p w14:paraId="44688331" w14:textId="77777777" w:rsidR="00983FFA" w:rsidRDefault="00983FFA" w:rsidP="00983FFA"/>
    <w:tbl>
      <w:tblPr>
        <w:tblStyle w:val="TableGrid"/>
        <w:tblW w:w="9067" w:type="dxa"/>
        <w:tblLayout w:type="fixed"/>
        <w:tblLook w:val="04A0" w:firstRow="1" w:lastRow="0" w:firstColumn="1" w:lastColumn="0" w:noHBand="0" w:noVBand="1"/>
        <w:tblDescription w:val="Flow chart describing the approach for calculating Carnosic acid plus Carnosol dietary intakes in Harvest, the form of the chemical assessed, the age groups assessed, the naional nutrition surveys used and the scenarios being modelled."/>
      </w:tblPr>
      <w:tblGrid>
        <w:gridCol w:w="692"/>
        <w:gridCol w:w="692"/>
        <w:gridCol w:w="3869"/>
        <w:gridCol w:w="1996"/>
        <w:gridCol w:w="1818"/>
      </w:tblGrid>
      <w:tr w:rsidR="00052EDC" w:rsidRPr="00B15FCE" w14:paraId="095E74A9" w14:textId="77777777" w:rsidTr="00AF4A81">
        <w:tc>
          <w:tcPr>
            <w:tcW w:w="9067" w:type="dxa"/>
            <w:gridSpan w:val="5"/>
            <w:tcBorders>
              <w:bottom w:val="nil"/>
            </w:tcBorders>
          </w:tcPr>
          <w:p w14:paraId="48D0B28C" w14:textId="77777777" w:rsidR="00052EDC" w:rsidRPr="00B15FCE" w:rsidRDefault="00052EDC" w:rsidP="00AF4A81">
            <w:pPr>
              <w:keepNext/>
              <w:keepLines/>
              <w:rPr>
                <w:b/>
                <w:sz w:val="20"/>
                <w:szCs w:val="20"/>
              </w:rPr>
            </w:pPr>
            <w:bookmarkStart w:id="152" w:name="_Ref517170082"/>
            <w:r w:rsidRPr="00B15FCE">
              <w:rPr>
                <w:b/>
                <w:sz w:val="20"/>
                <w:szCs w:val="20"/>
              </w:rPr>
              <w:lastRenderedPageBreak/>
              <w:t>1. Select the type of model</w:t>
            </w:r>
          </w:p>
        </w:tc>
      </w:tr>
      <w:tr w:rsidR="00052EDC" w:rsidRPr="00B15FCE" w14:paraId="4241C111" w14:textId="77777777" w:rsidTr="00AF4A81">
        <w:tc>
          <w:tcPr>
            <w:tcW w:w="9067" w:type="dxa"/>
            <w:gridSpan w:val="5"/>
            <w:tcBorders>
              <w:top w:val="nil"/>
              <w:bottom w:val="single" w:sz="4" w:space="0" w:color="000000"/>
            </w:tcBorders>
          </w:tcPr>
          <w:p w14:paraId="07AE3C08" w14:textId="202E3F09" w:rsidR="00052EDC" w:rsidRPr="00B15FCE" w:rsidRDefault="00052EDC" w:rsidP="00AF4A81">
            <w:pPr>
              <w:keepNext/>
              <w:keepLines/>
              <w:spacing w:before="40" w:after="40"/>
              <w:rPr>
                <w:i/>
                <w:sz w:val="20"/>
                <w:szCs w:val="20"/>
              </w:rPr>
            </w:pPr>
            <w:r w:rsidRPr="00B15FCE">
              <w:rPr>
                <w:i/>
                <w:sz w:val="20"/>
                <w:szCs w:val="20"/>
              </w:rPr>
              <w:t xml:space="preserve">Food additive model in Harvest (best matches food groups requested in </w:t>
            </w:r>
            <w:r w:rsidR="005D6D72">
              <w:rPr>
                <w:i/>
                <w:sz w:val="20"/>
                <w:szCs w:val="20"/>
              </w:rPr>
              <w:t>a</w:t>
            </w:r>
            <w:r w:rsidRPr="00B15FCE">
              <w:rPr>
                <w:i/>
                <w:sz w:val="20"/>
                <w:szCs w:val="20"/>
              </w:rPr>
              <w:t>pplication)</w:t>
            </w:r>
          </w:p>
        </w:tc>
      </w:tr>
      <w:tr w:rsidR="00052EDC" w:rsidRPr="00B15FCE" w14:paraId="705BB548" w14:textId="77777777" w:rsidTr="00AF4A81">
        <w:tc>
          <w:tcPr>
            <w:tcW w:w="1384" w:type="dxa"/>
            <w:gridSpan w:val="2"/>
            <w:tcBorders>
              <w:left w:val="nil"/>
              <w:bottom w:val="single" w:sz="4" w:space="0" w:color="000000"/>
              <w:right w:val="nil"/>
            </w:tcBorders>
          </w:tcPr>
          <w:p w14:paraId="6F9891EC"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4B230864"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1A05AF56"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672422E6" w14:textId="77777777" w:rsidR="00052EDC" w:rsidRPr="00B15FCE" w:rsidRDefault="00052EDC" w:rsidP="00AF4A81">
            <w:pPr>
              <w:keepNext/>
              <w:keepLines/>
              <w:rPr>
                <w:sz w:val="20"/>
                <w:szCs w:val="20"/>
              </w:rPr>
            </w:pPr>
          </w:p>
        </w:tc>
      </w:tr>
      <w:tr w:rsidR="00052EDC" w:rsidRPr="00B15FCE" w14:paraId="710149E4" w14:textId="77777777" w:rsidTr="00AF4A81">
        <w:tc>
          <w:tcPr>
            <w:tcW w:w="9067" w:type="dxa"/>
            <w:gridSpan w:val="5"/>
            <w:tcBorders>
              <w:bottom w:val="nil"/>
            </w:tcBorders>
          </w:tcPr>
          <w:p w14:paraId="0946824C" w14:textId="77777777" w:rsidR="00052EDC" w:rsidRPr="00B15FCE" w:rsidRDefault="00052EDC" w:rsidP="00AF4A81">
            <w:pPr>
              <w:keepNext/>
              <w:keepLines/>
              <w:rPr>
                <w:b/>
                <w:sz w:val="20"/>
                <w:szCs w:val="20"/>
              </w:rPr>
            </w:pPr>
            <w:r w:rsidRPr="00B15FCE">
              <w:rPr>
                <w:b/>
                <w:sz w:val="20"/>
                <w:szCs w:val="20"/>
              </w:rPr>
              <w:t xml:space="preserve">2. Select the form of </w:t>
            </w:r>
            <w:r>
              <w:rPr>
                <w:b/>
                <w:sz w:val="20"/>
                <w:szCs w:val="20"/>
              </w:rPr>
              <w:t>chemical</w:t>
            </w:r>
            <w:r w:rsidRPr="00B15FCE">
              <w:rPr>
                <w:b/>
                <w:sz w:val="20"/>
                <w:szCs w:val="20"/>
              </w:rPr>
              <w:t xml:space="preserve"> to use in the assessment</w:t>
            </w:r>
          </w:p>
        </w:tc>
      </w:tr>
      <w:tr w:rsidR="00052EDC" w:rsidRPr="00B15FCE" w14:paraId="1BBCBFCC" w14:textId="77777777" w:rsidTr="00AF4A81">
        <w:tc>
          <w:tcPr>
            <w:tcW w:w="9067" w:type="dxa"/>
            <w:gridSpan w:val="5"/>
            <w:tcBorders>
              <w:top w:val="nil"/>
            </w:tcBorders>
          </w:tcPr>
          <w:p w14:paraId="597C9714" w14:textId="77777777" w:rsidR="00052EDC" w:rsidRPr="00B15FCE" w:rsidRDefault="00052EDC" w:rsidP="00AF4A81">
            <w:pPr>
              <w:keepNext/>
              <w:keepLines/>
              <w:spacing w:before="40" w:after="40"/>
              <w:rPr>
                <w:i/>
                <w:sz w:val="20"/>
                <w:szCs w:val="20"/>
              </w:rPr>
            </w:pPr>
            <w:r w:rsidRPr="00A3308A">
              <w:rPr>
                <w:i/>
                <w:sz w:val="20"/>
                <w:szCs w:val="20"/>
              </w:rPr>
              <w:t>Carnosic acid + Carnosol from all sources (rosemary extract &amp; naturally-occurring)</w:t>
            </w:r>
          </w:p>
        </w:tc>
      </w:tr>
      <w:tr w:rsidR="00052EDC" w:rsidRPr="00B15FCE" w14:paraId="02FD4B69" w14:textId="77777777" w:rsidTr="00AF4A81">
        <w:tc>
          <w:tcPr>
            <w:tcW w:w="1384" w:type="dxa"/>
            <w:gridSpan w:val="2"/>
            <w:tcBorders>
              <w:left w:val="nil"/>
              <w:bottom w:val="single" w:sz="4" w:space="0" w:color="000000"/>
              <w:right w:val="nil"/>
            </w:tcBorders>
          </w:tcPr>
          <w:p w14:paraId="3316AD4F"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08036C05"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0653B7C3"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54BD734E" w14:textId="77777777" w:rsidR="00052EDC" w:rsidRPr="00B15FCE" w:rsidRDefault="00052EDC" w:rsidP="00AF4A81">
            <w:pPr>
              <w:keepNext/>
              <w:keepLines/>
              <w:rPr>
                <w:sz w:val="20"/>
                <w:szCs w:val="20"/>
              </w:rPr>
            </w:pPr>
          </w:p>
        </w:tc>
      </w:tr>
      <w:tr w:rsidR="00052EDC" w:rsidRPr="00B15FCE" w14:paraId="7A0CA8A0" w14:textId="77777777" w:rsidTr="00AF4A81">
        <w:tc>
          <w:tcPr>
            <w:tcW w:w="9067" w:type="dxa"/>
            <w:gridSpan w:val="5"/>
            <w:tcBorders>
              <w:bottom w:val="nil"/>
            </w:tcBorders>
          </w:tcPr>
          <w:p w14:paraId="4A42A6FA" w14:textId="77777777" w:rsidR="00052EDC" w:rsidRPr="00B15FCE" w:rsidRDefault="00052EDC" w:rsidP="00AF4A81">
            <w:pPr>
              <w:keepNext/>
              <w:keepLines/>
              <w:rPr>
                <w:b/>
                <w:sz w:val="20"/>
                <w:szCs w:val="20"/>
              </w:rPr>
            </w:pPr>
            <w:r w:rsidRPr="00B15FCE">
              <w:rPr>
                <w:b/>
                <w:sz w:val="20"/>
                <w:szCs w:val="20"/>
              </w:rPr>
              <w:t>3. Select the national nutrition surveys to use in the dietary exposure assessment</w:t>
            </w:r>
          </w:p>
        </w:tc>
      </w:tr>
      <w:tr w:rsidR="00052EDC" w:rsidRPr="00B15FCE" w14:paraId="3AC7C40B" w14:textId="77777777" w:rsidTr="00AF4A81">
        <w:tc>
          <w:tcPr>
            <w:tcW w:w="1384" w:type="dxa"/>
            <w:gridSpan w:val="2"/>
            <w:tcBorders>
              <w:top w:val="nil"/>
              <w:bottom w:val="nil"/>
              <w:right w:val="nil"/>
            </w:tcBorders>
          </w:tcPr>
          <w:p w14:paraId="52ADF0DE" w14:textId="77777777" w:rsidR="00052EDC" w:rsidRPr="00B15FCE" w:rsidRDefault="00052EDC" w:rsidP="00AF4A81">
            <w:pPr>
              <w:keepNext/>
              <w:keepLines/>
              <w:spacing w:before="40" w:after="40"/>
              <w:rPr>
                <w:i/>
                <w:sz w:val="20"/>
                <w:szCs w:val="20"/>
              </w:rPr>
            </w:pPr>
            <w:r w:rsidRPr="00B15FCE">
              <w:rPr>
                <w:i/>
                <w:sz w:val="20"/>
                <w:szCs w:val="20"/>
              </w:rPr>
              <w:t>Australia:</w:t>
            </w:r>
          </w:p>
        </w:tc>
        <w:tc>
          <w:tcPr>
            <w:tcW w:w="7683" w:type="dxa"/>
            <w:gridSpan w:val="3"/>
            <w:tcBorders>
              <w:top w:val="nil"/>
              <w:left w:val="nil"/>
              <w:bottom w:val="nil"/>
            </w:tcBorders>
          </w:tcPr>
          <w:p w14:paraId="75FE6078" w14:textId="77777777" w:rsidR="00052EDC" w:rsidRPr="00B15FCE" w:rsidRDefault="00052EDC" w:rsidP="00AF4A81">
            <w:pPr>
              <w:keepNext/>
              <w:keepLines/>
              <w:spacing w:before="40" w:after="40"/>
              <w:rPr>
                <w:i/>
                <w:sz w:val="20"/>
                <w:szCs w:val="20"/>
              </w:rPr>
            </w:pPr>
            <w:r w:rsidRPr="00B15FCE">
              <w:rPr>
                <w:i/>
                <w:iCs/>
                <w:sz w:val="20"/>
                <w:szCs w:val="20"/>
              </w:rPr>
              <w:t>2011-12 National Nutrition and Physical Activity Survey</w:t>
            </w:r>
          </w:p>
        </w:tc>
      </w:tr>
      <w:tr w:rsidR="00052EDC" w:rsidRPr="00B15FCE" w14:paraId="1FFD6A17" w14:textId="77777777" w:rsidTr="00AF4A81">
        <w:tc>
          <w:tcPr>
            <w:tcW w:w="1384" w:type="dxa"/>
            <w:gridSpan w:val="2"/>
            <w:tcBorders>
              <w:top w:val="nil"/>
              <w:bottom w:val="nil"/>
              <w:right w:val="nil"/>
            </w:tcBorders>
          </w:tcPr>
          <w:p w14:paraId="1CB8BBEE" w14:textId="77777777" w:rsidR="00052EDC" w:rsidRPr="00B15FCE" w:rsidRDefault="00052EDC" w:rsidP="00AF4A81">
            <w:pPr>
              <w:keepNext/>
              <w:keepLines/>
              <w:spacing w:before="40" w:after="40"/>
              <w:rPr>
                <w:i/>
                <w:sz w:val="20"/>
                <w:szCs w:val="20"/>
              </w:rPr>
            </w:pPr>
          </w:p>
        </w:tc>
        <w:tc>
          <w:tcPr>
            <w:tcW w:w="7683" w:type="dxa"/>
            <w:gridSpan w:val="3"/>
            <w:tcBorders>
              <w:top w:val="nil"/>
              <w:left w:val="nil"/>
              <w:bottom w:val="nil"/>
            </w:tcBorders>
          </w:tcPr>
          <w:p w14:paraId="760E5C72" w14:textId="77777777" w:rsidR="00052EDC" w:rsidRPr="00B15FCE" w:rsidRDefault="00052EDC" w:rsidP="00AF4A81">
            <w:pPr>
              <w:keepNext/>
              <w:keepLines/>
              <w:spacing w:before="40" w:after="40"/>
              <w:rPr>
                <w:i/>
                <w:sz w:val="20"/>
                <w:szCs w:val="20"/>
              </w:rPr>
            </w:pPr>
            <w:r w:rsidRPr="00B15FCE">
              <w:rPr>
                <w:i/>
                <w:iCs/>
                <w:sz w:val="20"/>
                <w:szCs w:val="20"/>
              </w:rPr>
              <w:t>(2011-12 NNPAS) (2 years &amp; above)</w:t>
            </w:r>
          </w:p>
        </w:tc>
      </w:tr>
      <w:tr w:rsidR="00052EDC" w:rsidRPr="00B15FCE" w14:paraId="234A3DE9" w14:textId="77777777" w:rsidTr="00AF4A81">
        <w:tc>
          <w:tcPr>
            <w:tcW w:w="1384" w:type="dxa"/>
            <w:gridSpan w:val="2"/>
            <w:vMerge w:val="restart"/>
            <w:tcBorders>
              <w:top w:val="nil"/>
              <w:right w:val="nil"/>
            </w:tcBorders>
          </w:tcPr>
          <w:p w14:paraId="57DBC4C1" w14:textId="77777777" w:rsidR="00052EDC" w:rsidRPr="00B15FCE" w:rsidRDefault="00052EDC" w:rsidP="00AF4A81">
            <w:pPr>
              <w:keepNext/>
              <w:keepLines/>
              <w:spacing w:before="40" w:after="40"/>
              <w:rPr>
                <w:i/>
                <w:sz w:val="20"/>
                <w:szCs w:val="20"/>
              </w:rPr>
            </w:pPr>
            <w:r w:rsidRPr="00B15FCE">
              <w:rPr>
                <w:i/>
                <w:sz w:val="20"/>
                <w:szCs w:val="20"/>
              </w:rPr>
              <w:t>New Zealand:</w:t>
            </w:r>
          </w:p>
        </w:tc>
        <w:tc>
          <w:tcPr>
            <w:tcW w:w="7683" w:type="dxa"/>
            <w:gridSpan w:val="3"/>
            <w:tcBorders>
              <w:top w:val="nil"/>
              <w:left w:val="nil"/>
              <w:bottom w:val="nil"/>
            </w:tcBorders>
          </w:tcPr>
          <w:p w14:paraId="2517F622" w14:textId="77777777" w:rsidR="00052EDC" w:rsidRPr="00B15FCE" w:rsidRDefault="00052EDC" w:rsidP="00AF4A81">
            <w:pPr>
              <w:keepNext/>
              <w:keepLines/>
              <w:spacing w:before="40" w:after="40"/>
              <w:rPr>
                <w:i/>
                <w:sz w:val="20"/>
                <w:szCs w:val="20"/>
              </w:rPr>
            </w:pPr>
            <w:r w:rsidRPr="00B15FCE">
              <w:rPr>
                <w:i/>
                <w:sz w:val="20"/>
                <w:szCs w:val="20"/>
              </w:rPr>
              <w:t>2002 National Children's Nutrition Survey</w:t>
            </w:r>
            <w:r>
              <w:rPr>
                <w:i/>
                <w:sz w:val="20"/>
                <w:szCs w:val="20"/>
              </w:rPr>
              <w:t xml:space="preserve"> (2002 NZ CNS)</w:t>
            </w:r>
            <w:r w:rsidRPr="00B15FCE">
              <w:rPr>
                <w:i/>
                <w:sz w:val="20"/>
                <w:szCs w:val="20"/>
              </w:rPr>
              <w:t xml:space="preserve"> (5-14 years)</w:t>
            </w:r>
          </w:p>
        </w:tc>
      </w:tr>
      <w:tr w:rsidR="00052EDC" w:rsidRPr="00B15FCE" w14:paraId="54EDA328" w14:textId="77777777" w:rsidTr="00AF4A81">
        <w:tc>
          <w:tcPr>
            <w:tcW w:w="1384" w:type="dxa"/>
            <w:gridSpan w:val="2"/>
            <w:vMerge/>
            <w:tcBorders>
              <w:right w:val="nil"/>
            </w:tcBorders>
          </w:tcPr>
          <w:p w14:paraId="7235D907" w14:textId="77777777" w:rsidR="00052EDC" w:rsidRPr="00B15FCE" w:rsidRDefault="00052EDC" w:rsidP="00AF4A81">
            <w:pPr>
              <w:keepNext/>
              <w:keepLines/>
              <w:spacing w:before="40" w:after="40"/>
              <w:rPr>
                <w:i/>
                <w:sz w:val="20"/>
                <w:szCs w:val="20"/>
              </w:rPr>
            </w:pPr>
          </w:p>
        </w:tc>
        <w:tc>
          <w:tcPr>
            <w:tcW w:w="7683" w:type="dxa"/>
            <w:gridSpan w:val="3"/>
            <w:tcBorders>
              <w:top w:val="nil"/>
              <w:left w:val="nil"/>
            </w:tcBorders>
          </w:tcPr>
          <w:p w14:paraId="16D3C307" w14:textId="77777777" w:rsidR="00052EDC" w:rsidRPr="00B15FCE" w:rsidRDefault="00052EDC" w:rsidP="00AF4A81">
            <w:pPr>
              <w:keepNext/>
              <w:keepLines/>
              <w:spacing w:before="40" w:after="40"/>
              <w:rPr>
                <w:i/>
                <w:sz w:val="20"/>
                <w:szCs w:val="20"/>
              </w:rPr>
            </w:pPr>
            <w:r w:rsidRPr="00B15FCE">
              <w:rPr>
                <w:i/>
                <w:sz w:val="20"/>
                <w:szCs w:val="20"/>
              </w:rPr>
              <w:t>2008</w:t>
            </w:r>
            <w:r>
              <w:rPr>
                <w:i/>
                <w:sz w:val="20"/>
                <w:szCs w:val="20"/>
              </w:rPr>
              <w:t>-0</w:t>
            </w:r>
            <w:r w:rsidRPr="00B15FCE">
              <w:rPr>
                <w:i/>
                <w:sz w:val="20"/>
                <w:szCs w:val="20"/>
              </w:rPr>
              <w:t xml:space="preserve">9 Adult Nutrition Survey </w:t>
            </w:r>
            <w:r>
              <w:rPr>
                <w:i/>
                <w:sz w:val="20"/>
                <w:szCs w:val="20"/>
              </w:rPr>
              <w:t xml:space="preserve">(2008 NZ ANS) </w:t>
            </w:r>
            <w:r w:rsidRPr="00B15FCE">
              <w:rPr>
                <w:i/>
                <w:sz w:val="20"/>
                <w:szCs w:val="20"/>
              </w:rPr>
              <w:t>(15 years &amp; above)</w:t>
            </w:r>
          </w:p>
        </w:tc>
      </w:tr>
      <w:tr w:rsidR="00052EDC" w:rsidRPr="00B15FCE" w14:paraId="335A8738" w14:textId="77777777" w:rsidTr="00AF4A81">
        <w:tc>
          <w:tcPr>
            <w:tcW w:w="1384" w:type="dxa"/>
            <w:gridSpan w:val="2"/>
            <w:tcBorders>
              <w:left w:val="nil"/>
              <w:bottom w:val="single" w:sz="4" w:space="0" w:color="000000"/>
              <w:right w:val="nil"/>
            </w:tcBorders>
          </w:tcPr>
          <w:p w14:paraId="3B99178A"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7B28D315"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6836D78B"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1AF7E6B6" w14:textId="77777777" w:rsidR="00052EDC" w:rsidRPr="00B15FCE" w:rsidRDefault="00052EDC" w:rsidP="00AF4A81">
            <w:pPr>
              <w:keepNext/>
              <w:keepLines/>
              <w:rPr>
                <w:sz w:val="20"/>
                <w:szCs w:val="20"/>
              </w:rPr>
            </w:pPr>
          </w:p>
        </w:tc>
      </w:tr>
      <w:tr w:rsidR="00052EDC" w:rsidRPr="00B15FCE" w14:paraId="790C29C3" w14:textId="77777777" w:rsidTr="00AF4A81">
        <w:tc>
          <w:tcPr>
            <w:tcW w:w="9067" w:type="dxa"/>
            <w:gridSpan w:val="5"/>
            <w:tcBorders>
              <w:bottom w:val="nil"/>
            </w:tcBorders>
          </w:tcPr>
          <w:p w14:paraId="3302448A" w14:textId="77777777" w:rsidR="00052EDC" w:rsidRPr="00B15FCE" w:rsidRDefault="00052EDC" w:rsidP="00AF4A81">
            <w:pPr>
              <w:keepNext/>
              <w:keepLines/>
              <w:rPr>
                <w:b/>
                <w:sz w:val="20"/>
                <w:szCs w:val="20"/>
              </w:rPr>
            </w:pPr>
            <w:r w:rsidRPr="00B15FCE">
              <w:rPr>
                <w:b/>
                <w:sz w:val="20"/>
                <w:szCs w:val="20"/>
              </w:rPr>
              <w:t>4. Select the population group(s) to assess</w:t>
            </w:r>
          </w:p>
        </w:tc>
      </w:tr>
      <w:tr w:rsidR="00052EDC" w:rsidRPr="00B15FCE" w14:paraId="3B12AE10" w14:textId="77777777" w:rsidTr="00AF4A81">
        <w:tc>
          <w:tcPr>
            <w:tcW w:w="1384" w:type="dxa"/>
            <w:gridSpan w:val="2"/>
            <w:tcBorders>
              <w:top w:val="nil"/>
              <w:bottom w:val="nil"/>
              <w:right w:val="nil"/>
            </w:tcBorders>
          </w:tcPr>
          <w:p w14:paraId="62AB108E" w14:textId="77777777" w:rsidR="00052EDC" w:rsidRPr="00B15FCE" w:rsidRDefault="00052EDC" w:rsidP="00AF4A81">
            <w:pPr>
              <w:keepNext/>
              <w:keepLines/>
              <w:spacing w:before="40" w:after="40"/>
              <w:rPr>
                <w:i/>
                <w:sz w:val="20"/>
                <w:szCs w:val="20"/>
              </w:rPr>
            </w:pPr>
            <w:r w:rsidRPr="00B15FCE">
              <w:rPr>
                <w:i/>
                <w:sz w:val="20"/>
                <w:szCs w:val="20"/>
              </w:rPr>
              <w:t>a.</w:t>
            </w:r>
          </w:p>
        </w:tc>
        <w:tc>
          <w:tcPr>
            <w:tcW w:w="7683" w:type="dxa"/>
            <w:gridSpan w:val="3"/>
            <w:tcBorders>
              <w:top w:val="nil"/>
              <w:left w:val="nil"/>
              <w:bottom w:val="nil"/>
            </w:tcBorders>
          </w:tcPr>
          <w:p w14:paraId="57A6F505" w14:textId="77777777" w:rsidR="00052EDC" w:rsidRPr="00B15FCE" w:rsidRDefault="00052EDC" w:rsidP="00AF4A81">
            <w:pPr>
              <w:keepNext/>
              <w:keepLines/>
              <w:spacing w:before="40" w:after="40"/>
              <w:rPr>
                <w:sz w:val="20"/>
                <w:szCs w:val="20"/>
              </w:rPr>
            </w:pPr>
            <w:r w:rsidRPr="00B15FCE">
              <w:rPr>
                <w:i/>
                <w:sz w:val="20"/>
                <w:szCs w:val="20"/>
              </w:rPr>
              <w:t>Whole population (2 years &amp; above (Au); 15 years &amp; above (NZ)</w:t>
            </w:r>
            <w:r>
              <w:rPr>
                <w:i/>
                <w:sz w:val="20"/>
                <w:szCs w:val="20"/>
              </w:rPr>
              <w:t>; 5-14 years (NZ)</w:t>
            </w:r>
            <w:r w:rsidRPr="00B15FCE">
              <w:rPr>
                <w:i/>
                <w:sz w:val="20"/>
                <w:szCs w:val="20"/>
              </w:rPr>
              <w:t>)</w:t>
            </w:r>
          </w:p>
        </w:tc>
      </w:tr>
      <w:tr w:rsidR="00052EDC" w:rsidRPr="00B15FCE" w14:paraId="3CCE334E" w14:textId="77777777" w:rsidTr="00AF4A81">
        <w:tc>
          <w:tcPr>
            <w:tcW w:w="1384" w:type="dxa"/>
            <w:gridSpan w:val="2"/>
            <w:tcBorders>
              <w:left w:val="nil"/>
              <w:bottom w:val="single" w:sz="4" w:space="0" w:color="000000"/>
              <w:right w:val="nil"/>
            </w:tcBorders>
          </w:tcPr>
          <w:p w14:paraId="56AC6F35" w14:textId="77777777" w:rsidR="00052EDC" w:rsidRPr="00B15FCE" w:rsidRDefault="00052EDC" w:rsidP="00AF4A81">
            <w:pPr>
              <w:keepNext/>
              <w:keepLines/>
              <w:rPr>
                <w:sz w:val="20"/>
                <w:szCs w:val="20"/>
              </w:rPr>
            </w:pPr>
          </w:p>
        </w:tc>
        <w:tc>
          <w:tcPr>
            <w:tcW w:w="3869" w:type="dxa"/>
            <w:tcBorders>
              <w:left w:val="nil"/>
              <w:bottom w:val="single" w:sz="4" w:space="0" w:color="000000"/>
              <w:right w:val="single" w:sz="18" w:space="0" w:color="000000"/>
            </w:tcBorders>
          </w:tcPr>
          <w:p w14:paraId="30332477" w14:textId="77777777" w:rsidR="00052EDC" w:rsidRPr="00B15FCE" w:rsidRDefault="00052EDC" w:rsidP="00AF4A81">
            <w:pPr>
              <w:keepNext/>
              <w:keepLines/>
              <w:rPr>
                <w:sz w:val="20"/>
                <w:szCs w:val="20"/>
              </w:rPr>
            </w:pPr>
          </w:p>
        </w:tc>
        <w:tc>
          <w:tcPr>
            <w:tcW w:w="1996" w:type="dxa"/>
            <w:tcBorders>
              <w:left w:val="single" w:sz="18" w:space="0" w:color="000000"/>
              <w:bottom w:val="single" w:sz="4" w:space="0" w:color="000000"/>
              <w:right w:val="nil"/>
            </w:tcBorders>
          </w:tcPr>
          <w:p w14:paraId="350AA566" w14:textId="77777777" w:rsidR="00052EDC" w:rsidRPr="00B15FCE" w:rsidRDefault="00052EDC" w:rsidP="00AF4A81">
            <w:pPr>
              <w:keepNext/>
              <w:keepLines/>
              <w:rPr>
                <w:sz w:val="20"/>
                <w:szCs w:val="20"/>
              </w:rPr>
            </w:pPr>
          </w:p>
        </w:tc>
        <w:tc>
          <w:tcPr>
            <w:tcW w:w="1818" w:type="dxa"/>
            <w:tcBorders>
              <w:left w:val="nil"/>
              <w:bottom w:val="single" w:sz="4" w:space="0" w:color="000000"/>
              <w:right w:val="nil"/>
            </w:tcBorders>
          </w:tcPr>
          <w:p w14:paraId="74780E6C" w14:textId="77777777" w:rsidR="00052EDC" w:rsidRPr="00B15FCE" w:rsidRDefault="00052EDC" w:rsidP="00AF4A81">
            <w:pPr>
              <w:keepNext/>
              <w:keepLines/>
              <w:rPr>
                <w:sz w:val="20"/>
                <w:szCs w:val="20"/>
              </w:rPr>
            </w:pPr>
          </w:p>
        </w:tc>
      </w:tr>
      <w:tr w:rsidR="00052EDC" w:rsidRPr="00B15FCE" w14:paraId="1D0F8825" w14:textId="77777777" w:rsidTr="00AF4A81">
        <w:tc>
          <w:tcPr>
            <w:tcW w:w="9067" w:type="dxa"/>
            <w:gridSpan w:val="5"/>
            <w:tcBorders>
              <w:bottom w:val="single" w:sz="4" w:space="0" w:color="000000"/>
            </w:tcBorders>
          </w:tcPr>
          <w:p w14:paraId="4D930ABB" w14:textId="77777777" w:rsidR="00052EDC" w:rsidRPr="00B15FCE" w:rsidRDefault="00052EDC" w:rsidP="00AF4A81">
            <w:pPr>
              <w:keepNext/>
              <w:keepLines/>
              <w:rPr>
                <w:b/>
                <w:sz w:val="20"/>
                <w:szCs w:val="20"/>
              </w:rPr>
            </w:pPr>
            <w:r w:rsidRPr="00B15FCE">
              <w:rPr>
                <w:b/>
                <w:sz w:val="20"/>
                <w:szCs w:val="20"/>
              </w:rPr>
              <w:t>5. Determine the scenarios to model</w:t>
            </w:r>
          </w:p>
        </w:tc>
      </w:tr>
      <w:tr w:rsidR="00052EDC" w:rsidRPr="00B15FCE" w14:paraId="76612D73" w14:textId="77777777" w:rsidTr="00AF4A81">
        <w:trPr>
          <w:trHeight w:hRule="exact" w:val="142"/>
        </w:trPr>
        <w:tc>
          <w:tcPr>
            <w:tcW w:w="692" w:type="dxa"/>
            <w:tcBorders>
              <w:top w:val="single" w:sz="4" w:space="0" w:color="000000"/>
              <w:left w:val="nil"/>
              <w:bottom w:val="nil"/>
              <w:right w:val="single" w:sz="18" w:space="0" w:color="000000"/>
            </w:tcBorders>
          </w:tcPr>
          <w:p w14:paraId="77E6AF9B" w14:textId="77777777" w:rsidR="00052EDC" w:rsidRPr="00B15FCE" w:rsidRDefault="00052EDC" w:rsidP="00AF4A81">
            <w:pPr>
              <w:keepNext/>
              <w:keepLines/>
              <w:rPr>
                <w:sz w:val="20"/>
                <w:szCs w:val="20"/>
              </w:rPr>
            </w:pPr>
          </w:p>
        </w:tc>
        <w:tc>
          <w:tcPr>
            <w:tcW w:w="692" w:type="dxa"/>
            <w:tcBorders>
              <w:top w:val="single" w:sz="4" w:space="0" w:color="000000"/>
              <w:left w:val="single" w:sz="18" w:space="0" w:color="000000"/>
              <w:bottom w:val="nil"/>
              <w:right w:val="nil"/>
            </w:tcBorders>
          </w:tcPr>
          <w:p w14:paraId="67EBC80A" w14:textId="77777777" w:rsidR="00052EDC" w:rsidRPr="00B15FCE" w:rsidRDefault="00052EDC" w:rsidP="00AF4A81">
            <w:pPr>
              <w:keepNext/>
              <w:keepLines/>
              <w:rPr>
                <w:sz w:val="20"/>
                <w:szCs w:val="20"/>
              </w:rPr>
            </w:pPr>
          </w:p>
        </w:tc>
        <w:tc>
          <w:tcPr>
            <w:tcW w:w="7683" w:type="dxa"/>
            <w:gridSpan w:val="3"/>
            <w:tcBorders>
              <w:top w:val="single" w:sz="4" w:space="0" w:color="000000"/>
              <w:left w:val="nil"/>
              <w:bottom w:val="single" w:sz="4" w:space="0" w:color="000000"/>
              <w:right w:val="nil"/>
            </w:tcBorders>
          </w:tcPr>
          <w:p w14:paraId="5B6615DA" w14:textId="77777777" w:rsidR="00052EDC" w:rsidRPr="00B15FCE" w:rsidRDefault="00052EDC" w:rsidP="00AF4A81">
            <w:pPr>
              <w:keepNext/>
              <w:keepLines/>
              <w:rPr>
                <w:b/>
                <w:bCs/>
                <w:sz w:val="20"/>
                <w:szCs w:val="20"/>
              </w:rPr>
            </w:pPr>
          </w:p>
        </w:tc>
      </w:tr>
      <w:tr w:rsidR="00052EDC" w:rsidRPr="00B15FCE" w14:paraId="780BAE77" w14:textId="77777777" w:rsidTr="00AF4A81">
        <w:trPr>
          <w:cantSplit/>
        </w:trPr>
        <w:tc>
          <w:tcPr>
            <w:tcW w:w="692" w:type="dxa"/>
            <w:tcBorders>
              <w:top w:val="nil"/>
              <w:left w:val="nil"/>
              <w:bottom w:val="nil"/>
              <w:right w:val="single" w:sz="18" w:space="0" w:color="000000"/>
            </w:tcBorders>
          </w:tcPr>
          <w:p w14:paraId="09198C24"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34220231" w14:textId="77777777" w:rsidR="00052EDC" w:rsidRPr="00B15FCE" w:rsidRDefault="00052EDC" w:rsidP="00AF4A81">
            <w:pPr>
              <w:keepNext/>
              <w:keepLines/>
              <w:spacing w:after="80"/>
              <w:rPr>
                <w:sz w:val="20"/>
                <w:szCs w:val="20"/>
              </w:rPr>
            </w:pPr>
          </w:p>
        </w:tc>
        <w:tc>
          <w:tcPr>
            <w:tcW w:w="7683" w:type="dxa"/>
            <w:gridSpan w:val="3"/>
            <w:tcBorders>
              <w:top w:val="single" w:sz="4" w:space="0" w:color="000000"/>
              <w:bottom w:val="nil"/>
            </w:tcBorders>
          </w:tcPr>
          <w:p w14:paraId="17BAE5B9" w14:textId="77777777" w:rsidR="00052EDC" w:rsidRPr="00B15FCE" w:rsidRDefault="00052EDC" w:rsidP="00AF4A81">
            <w:pPr>
              <w:keepNext/>
              <w:keepLines/>
              <w:spacing w:after="80"/>
              <w:rPr>
                <w:sz w:val="20"/>
                <w:szCs w:val="20"/>
              </w:rPr>
            </w:pPr>
            <w:r w:rsidRPr="00B15FCE">
              <w:rPr>
                <w:b/>
                <w:bCs/>
                <w:sz w:val="20"/>
                <w:szCs w:val="20"/>
              </w:rPr>
              <w:t>5a. '</w:t>
            </w:r>
            <w:r>
              <w:rPr>
                <w:b/>
                <w:bCs/>
                <w:sz w:val="20"/>
                <w:szCs w:val="20"/>
              </w:rPr>
              <w:t>Naturally-occurring</w:t>
            </w:r>
            <w:r w:rsidRPr="00B15FCE">
              <w:rPr>
                <w:b/>
                <w:bCs/>
                <w:sz w:val="20"/>
                <w:szCs w:val="20"/>
              </w:rPr>
              <w:t>'</w:t>
            </w:r>
          </w:p>
        </w:tc>
      </w:tr>
      <w:tr w:rsidR="00052EDC" w:rsidRPr="00B15FCE" w14:paraId="6CED99E0" w14:textId="77777777" w:rsidTr="00AF4A81">
        <w:trPr>
          <w:cantSplit/>
        </w:trPr>
        <w:tc>
          <w:tcPr>
            <w:tcW w:w="692" w:type="dxa"/>
            <w:tcBorders>
              <w:top w:val="nil"/>
              <w:left w:val="nil"/>
              <w:bottom w:val="nil"/>
              <w:right w:val="single" w:sz="18" w:space="0" w:color="000000"/>
            </w:tcBorders>
          </w:tcPr>
          <w:p w14:paraId="7330F746"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388B35EF" w14:textId="77777777" w:rsidR="00052EDC" w:rsidRPr="00B15FCE" w:rsidRDefault="00052EDC" w:rsidP="00AF4A81">
            <w:pPr>
              <w:keepNext/>
              <w:keepLines/>
              <w:spacing w:after="80"/>
              <w:rPr>
                <w:sz w:val="20"/>
                <w:szCs w:val="20"/>
              </w:rPr>
            </w:pPr>
          </w:p>
        </w:tc>
        <w:tc>
          <w:tcPr>
            <w:tcW w:w="7683" w:type="dxa"/>
            <w:gridSpan w:val="3"/>
            <w:tcBorders>
              <w:top w:val="nil"/>
              <w:bottom w:val="single" w:sz="4" w:space="0" w:color="000000"/>
            </w:tcBorders>
          </w:tcPr>
          <w:p w14:paraId="4FA0F541" w14:textId="77777777" w:rsidR="00052EDC" w:rsidRPr="00B15FCE" w:rsidRDefault="00052EDC" w:rsidP="00AF4A81">
            <w:pPr>
              <w:keepNext/>
              <w:keepLines/>
              <w:spacing w:after="80"/>
              <w:rPr>
                <w:i/>
                <w:sz w:val="20"/>
                <w:szCs w:val="20"/>
              </w:rPr>
            </w:pPr>
            <w:r>
              <w:rPr>
                <w:i/>
                <w:sz w:val="20"/>
                <w:szCs w:val="20"/>
              </w:rPr>
              <w:t>E</w:t>
            </w:r>
            <w:r w:rsidRPr="00A3308A">
              <w:rPr>
                <w:i/>
                <w:sz w:val="20"/>
                <w:szCs w:val="20"/>
              </w:rPr>
              <w:t>xposure to Carnosic acid + Carnosol from naturally-occurring sources (rosemary leaves)</w:t>
            </w:r>
          </w:p>
        </w:tc>
      </w:tr>
      <w:tr w:rsidR="00052EDC" w:rsidRPr="00B15FCE" w14:paraId="3B5DB740" w14:textId="77777777" w:rsidTr="00AF4A81">
        <w:trPr>
          <w:cantSplit/>
        </w:trPr>
        <w:tc>
          <w:tcPr>
            <w:tcW w:w="692" w:type="dxa"/>
            <w:tcBorders>
              <w:top w:val="nil"/>
              <w:left w:val="nil"/>
              <w:bottom w:val="nil"/>
              <w:right w:val="single" w:sz="18" w:space="0" w:color="000000"/>
            </w:tcBorders>
          </w:tcPr>
          <w:p w14:paraId="7235095A"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77B4BFF2" w14:textId="77777777" w:rsidR="00052EDC" w:rsidRPr="00B15FCE" w:rsidRDefault="00052EDC" w:rsidP="00AF4A81">
            <w:pPr>
              <w:keepNext/>
              <w:keepLines/>
              <w:spacing w:after="80"/>
              <w:rPr>
                <w:sz w:val="20"/>
                <w:szCs w:val="20"/>
              </w:rPr>
            </w:pPr>
          </w:p>
        </w:tc>
        <w:tc>
          <w:tcPr>
            <w:tcW w:w="7683" w:type="dxa"/>
            <w:gridSpan w:val="3"/>
            <w:tcBorders>
              <w:top w:val="single" w:sz="4" w:space="0" w:color="000000"/>
              <w:left w:val="nil"/>
              <w:bottom w:val="nil"/>
              <w:right w:val="nil"/>
            </w:tcBorders>
          </w:tcPr>
          <w:p w14:paraId="6C34A9A9" w14:textId="77777777" w:rsidR="00052EDC" w:rsidRPr="00B15FCE" w:rsidRDefault="00052EDC" w:rsidP="00AF4A81">
            <w:pPr>
              <w:keepNext/>
              <w:keepLines/>
              <w:spacing w:after="80"/>
              <w:rPr>
                <w:i/>
                <w:sz w:val="20"/>
                <w:szCs w:val="20"/>
              </w:rPr>
            </w:pPr>
          </w:p>
        </w:tc>
      </w:tr>
      <w:tr w:rsidR="00052EDC" w:rsidRPr="00B15FCE" w14:paraId="10BABE2C" w14:textId="77777777" w:rsidTr="00AF4A81">
        <w:trPr>
          <w:cantSplit/>
        </w:trPr>
        <w:tc>
          <w:tcPr>
            <w:tcW w:w="692" w:type="dxa"/>
            <w:tcBorders>
              <w:top w:val="nil"/>
              <w:left w:val="nil"/>
              <w:bottom w:val="nil"/>
              <w:right w:val="single" w:sz="18" w:space="0" w:color="000000"/>
            </w:tcBorders>
          </w:tcPr>
          <w:p w14:paraId="154BD9A9"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19E9DFD8"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3C3D24D4" w14:textId="77777777" w:rsidR="00052EDC" w:rsidRPr="00B15FCE" w:rsidRDefault="00052EDC" w:rsidP="00AF4A81">
            <w:pPr>
              <w:keepNext/>
              <w:keepLines/>
              <w:spacing w:after="80"/>
              <w:rPr>
                <w:b/>
                <w:sz w:val="20"/>
                <w:szCs w:val="20"/>
              </w:rPr>
            </w:pPr>
            <w:r w:rsidRPr="00B15FCE">
              <w:rPr>
                <w:b/>
                <w:sz w:val="20"/>
                <w:szCs w:val="20"/>
              </w:rPr>
              <w:t>5b. '</w:t>
            </w:r>
            <w:r>
              <w:rPr>
                <w:b/>
                <w:sz w:val="20"/>
                <w:szCs w:val="20"/>
              </w:rPr>
              <w:t>Added rosemary extract only_MPL</w:t>
            </w:r>
            <w:r w:rsidRPr="00B15FCE">
              <w:rPr>
                <w:b/>
                <w:sz w:val="20"/>
                <w:szCs w:val="20"/>
              </w:rPr>
              <w:t>' Scenario</w:t>
            </w:r>
          </w:p>
        </w:tc>
      </w:tr>
      <w:tr w:rsidR="00052EDC" w:rsidRPr="00B15FCE" w14:paraId="20757936" w14:textId="77777777" w:rsidTr="00AF4A81">
        <w:trPr>
          <w:cantSplit/>
        </w:trPr>
        <w:tc>
          <w:tcPr>
            <w:tcW w:w="692" w:type="dxa"/>
            <w:tcBorders>
              <w:top w:val="nil"/>
              <w:left w:val="nil"/>
              <w:bottom w:val="nil"/>
              <w:right w:val="single" w:sz="18" w:space="0" w:color="000000"/>
            </w:tcBorders>
          </w:tcPr>
          <w:p w14:paraId="671E59B3"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12641F51" w14:textId="77777777" w:rsidR="00052EDC" w:rsidRPr="00B15FCE" w:rsidRDefault="00052EDC" w:rsidP="00AF4A81">
            <w:pPr>
              <w:keepNext/>
              <w:keepLines/>
              <w:spacing w:after="80"/>
              <w:rPr>
                <w:sz w:val="20"/>
                <w:szCs w:val="20"/>
              </w:rPr>
            </w:pPr>
          </w:p>
        </w:tc>
        <w:tc>
          <w:tcPr>
            <w:tcW w:w="7683" w:type="dxa"/>
            <w:gridSpan w:val="3"/>
            <w:tcBorders>
              <w:top w:val="nil"/>
            </w:tcBorders>
          </w:tcPr>
          <w:p w14:paraId="2612207F" w14:textId="5F801023" w:rsidR="00052EDC" w:rsidRPr="00B15FCE" w:rsidRDefault="00052EDC" w:rsidP="00AF4A81">
            <w:pPr>
              <w:keepNext/>
              <w:keepLines/>
              <w:spacing w:after="80"/>
              <w:rPr>
                <w:i/>
                <w:sz w:val="20"/>
                <w:szCs w:val="20"/>
              </w:rPr>
            </w:pPr>
            <w:r>
              <w:rPr>
                <w:i/>
                <w:sz w:val="20"/>
                <w:szCs w:val="20"/>
              </w:rPr>
              <w:t>I</w:t>
            </w:r>
            <w:r w:rsidRPr="00A3308A">
              <w:rPr>
                <w:i/>
                <w:sz w:val="20"/>
                <w:szCs w:val="20"/>
              </w:rPr>
              <w:t xml:space="preserve">ncludes only the MPLs requested in the </w:t>
            </w:r>
            <w:r w:rsidR="005D6D72">
              <w:rPr>
                <w:i/>
                <w:sz w:val="20"/>
                <w:szCs w:val="20"/>
              </w:rPr>
              <w:t>a</w:t>
            </w:r>
            <w:r w:rsidRPr="00A3308A">
              <w:rPr>
                <w:i/>
                <w:sz w:val="20"/>
                <w:szCs w:val="20"/>
              </w:rPr>
              <w:t>pplication, at 100% market penetration into each category requested</w:t>
            </w:r>
            <w:r>
              <w:rPr>
                <w:i/>
                <w:sz w:val="20"/>
                <w:szCs w:val="20"/>
              </w:rPr>
              <w:t>. D</w:t>
            </w:r>
            <w:r w:rsidRPr="00A3308A">
              <w:rPr>
                <w:i/>
                <w:sz w:val="20"/>
                <w:szCs w:val="20"/>
              </w:rPr>
              <w:t xml:space="preserve">oes not include the contribution from </w:t>
            </w:r>
            <w:r>
              <w:rPr>
                <w:i/>
                <w:sz w:val="20"/>
                <w:szCs w:val="20"/>
              </w:rPr>
              <w:t xml:space="preserve">naturally occurring levels in </w:t>
            </w:r>
            <w:r w:rsidRPr="00A3308A">
              <w:rPr>
                <w:i/>
                <w:sz w:val="20"/>
                <w:szCs w:val="20"/>
              </w:rPr>
              <w:t>rosemary leaves</w:t>
            </w:r>
            <w:r>
              <w:rPr>
                <w:i/>
                <w:sz w:val="20"/>
                <w:szCs w:val="20"/>
              </w:rPr>
              <w:t>.</w:t>
            </w:r>
          </w:p>
        </w:tc>
      </w:tr>
      <w:tr w:rsidR="00052EDC" w:rsidRPr="00B15FCE" w14:paraId="0C4C93A1" w14:textId="77777777" w:rsidTr="00AF4A81">
        <w:trPr>
          <w:cantSplit/>
        </w:trPr>
        <w:tc>
          <w:tcPr>
            <w:tcW w:w="692" w:type="dxa"/>
            <w:tcBorders>
              <w:top w:val="nil"/>
              <w:left w:val="nil"/>
              <w:bottom w:val="nil"/>
              <w:right w:val="single" w:sz="18" w:space="0" w:color="000000"/>
            </w:tcBorders>
          </w:tcPr>
          <w:p w14:paraId="55B7D49F"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0864C6F6" w14:textId="77777777" w:rsidR="00052EDC" w:rsidRPr="00B15FCE" w:rsidRDefault="00052EDC" w:rsidP="00AF4A81">
            <w:pPr>
              <w:keepNext/>
              <w:keepLines/>
              <w:spacing w:after="80"/>
              <w:rPr>
                <w:sz w:val="20"/>
                <w:szCs w:val="20"/>
              </w:rPr>
            </w:pPr>
          </w:p>
        </w:tc>
        <w:tc>
          <w:tcPr>
            <w:tcW w:w="7683" w:type="dxa"/>
            <w:gridSpan w:val="3"/>
            <w:tcBorders>
              <w:top w:val="nil"/>
              <w:left w:val="nil"/>
              <w:bottom w:val="nil"/>
              <w:right w:val="nil"/>
            </w:tcBorders>
          </w:tcPr>
          <w:p w14:paraId="1D316DC3" w14:textId="77777777" w:rsidR="00052EDC" w:rsidRPr="00B15FCE" w:rsidRDefault="00052EDC" w:rsidP="00AF4A81">
            <w:pPr>
              <w:keepNext/>
              <w:keepLines/>
              <w:spacing w:after="80"/>
              <w:rPr>
                <w:i/>
                <w:sz w:val="20"/>
                <w:szCs w:val="20"/>
              </w:rPr>
            </w:pPr>
          </w:p>
        </w:tc>
      </w:tr>
      <w:tr w:rsidR="00052EDC" w:rsidRPr="00B15FCE" w14:paraId="51116C4E" w14:textId="77777777" w:rsidTr="00AF4A81">
        <w:trPr>
          <w:cantSplit/>
        </w:trPr>
        <w:tc>
          <w:tcPr>
            <w:tcW w:w="692" w:type="dxa"/>
            <w:tcBorders>
              <w:top w:val="nil"/>
              <w:left w:val="nil"/>
              <w:bottom w:val="nil"/>
              <w:right w:val="single" w:sz="18" w:space="0" w:color="000000"/>
            </w:tcBorders>
          </w:tcPr>
          <w:p w14:paraId="70C84D65"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4F4E0796"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7F85F4E8" w14:textId="77777777" w:rsidR="00052EDC" w:rsidRPr="00B15FCE" w:rsidRDefault="00052EDC" w:rsidP="00AF4A81">
            <w:pPr>
              <w:keepNext/>
              <w:keepLines/>
              <w:spacing w:after="80"/>
              <w:rPr>
                <w:sz w:val="20"/>
                <w:szCs w:val="20"/>
              </w:rPr>
            </w:pPr>
            <w:r w:rsidRPr="00B15FCE">
              <w:rPr>
                <w:b/>
                <w:sz w:val="20"/>
                <w:szCs w:val="20"/>
              </w:rPr>
              <w:t>5c. '</w:t>
            </w:r>
            <w:r>
              <w:rPr>
                <w:b/>
                <w:sz w:val="20"/>
                <w:szCs w:val="20"/>
              </w:rPr>
              <w:t>Naturally-occurring plus added rosemary extract_MPL</w:t>
            </w:r>
            <w:r w:rsidRPr="00B15FCE">
              <w:rPr>
                <w:b/>
                <w:sz w:val="20"/>
                <w:szCs w:val="20"/>
              </w:rPr>
              <w:t>'</w:t>
            </w:r>
            <w:r>
              <w:rPr>
                <w:b/>
                <w:sz w:val="20"/>
                <w:szCs w:val="20"/>
              </w:rPr>
              <w:t xml:space="preserve"> </w:t>
            </w:r>
            <w:r w:rsidRPr="00B15FCE">
              <w:rPr>
                <w:b/>
                <w:sz w:val="20"/>
                <w:szCs w:val="20"/>
              </w:rPr>
              <w:t>Scenario</w:t>
            </w:r>
          </w:p>
        </w:tc>
      </w:tr>
      <w:tr w:rsidR="00052EDC" w:rsidRPr="00B15FCE" w14:paraId="16B80829" w14:textId="77777777" w:rsidTr="00AF4A81">
        <w:trPr>
          <w:cantSplit/>
        </w:trPr>
        <w:tc>
          <w:tcPr>
            <w:tcW w:w="692" w:type="dxa"/>
            <w:tcBorders>
              <w:top w:val="nil"/>
              <w:left w:val="nil"/>
              <w:bottom w:val="nil"/>
              <w:right w:val="single" w:sz="18" w:space="0" w:color="000000"/>
            </w:tcBorders>
          </w:tcPr>
          <w:p w14:paraId="2474C846"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2F33FA66" w14:textId="77777777" w:rsidR="00052EDC" w:rsidRPr="00B15FCE" w:rsidRDefault="00052EDC" w:rsidP="00AF4A81">
            <w:pPr>
              <w:keepNext/>
              <w:keepLines/>
              <w:spacing w:after="80"/>
              <w:rPr>
                <w:sz w:val="20"/>
                <w:szCs w:val="20"/>
              </w:rPr>
            </w:pPr>
          </w:p>
        </w:tc>
        <w:tc>
          <w:tcPr>
            <w:tcW w:w="7683" w:type="dxa"/>
            <w:gridSpan w:val="3"/>
            <w:tcBorders>
              <w:top w:val="nil"/>
            </w:tcBorders>
          </w:tcPr>
          <w:p w14:paraId="7819F424" w14:textId="4E2BC115" w:rsidR="00052EDC" w:rsidRPr="00A3308A" w:rsidRDefault="00052EDC" w:rsidP="00AF4A81">
            <w:pPr>
              <w:keepNext/>
              <w:keepLines/>
              <w:spacing w:after="80"/>
              <w:rPr>
                <w:i/>
                <w:sz w:val="20"/>
                <w:szCs w:val="20"/>
              </w:rPr>
            </w:pPr>
            <w:r>
              <w:rPr>
                <w:i/>
                <w:sz w:val="20"/>
                <w:szCs w:val="20"/>
              </w:rPr>
              <w:t>I</w:t>
            </w:r>
            <w:r w:rsidRPr="00A3308A">
              <w:rPr>
                <w:i/>
                <w:sz w:val="20"/>
                <w:szCs w:val="20"/>
              </w:rPr>
              <w:t xml:space="preserve">ncludes Naturally-occurring scenario plus all MPLs requested in the </w:t>
            </w:r>
            <w:r w:rsidR="005D6D72">
              <w:rPr>
                <w:i/>
                <w:sz w:val="20"/>
                <w:szCs w:val="20"/>
              </w:rPr>
              <w:t>a</w:t>
            </w:r>
            <w:r w:rsidRPr="00A3308A">
              <w:rPr>
                <w:i/>
                <w:sz w:val="20"/>
                <w:szCs w:val="20"/>
              </w:rPr>
              <w:t xml:space="preserve">pplication, at 100% market penetration into each category requested. </w:t>
            </w:r>
            <w:r>
              <w:rPr>
                <w:i/>
                <w:sz w:val="20"/>
                <w:szCs w:val="20"/>
              </w:rPr>
              <w:t>I</w:t>
            </w:r>
            <w:r w:rsidRPr="00A3308A">
              <w:rPr>
                <w:i/>
                <w:sz w:val="20"/>
                <w:szCs w:val="20"/>
              </w:rPr>
              <w:t xml:space="preserve">ncludes the contribution from </w:t>
            </w:r>
            <w:r>
              <w:rPr>
                <w:i/>
                <w:sz w:val="20"/>
                <w:szCs w:val="20"/>
              </w:rPr>
              <w:t xml:space="preserve">naturally occurring levels in </w:t>
            </w:r>
            <w:r w:rsidRPr="00A3308A">
              <w:rPr>
                <w:i/>
                <w:sz w:val="20"/>
                <w:szCs w:val="20"/>
              </w:rPr>
              <w:t>rosemary leaves.</w:t>
            </w:r>
          </w:p>
        </w:tc>
      </w:tr>
      <w:tr w:rsidR="00052EDC" w:rsidRPr="00B15FCE" w14:paraId="61E33BF1" w14:textId="77777777" w:rsidTr="00AF4A81">
        <w:trPr>
          <w:cantSplit/>
        </w:trPr>
        <w:tc>
          <w:tcPr>
            <w:tcW w:w="692" w:type="dxa"/>
            <w:tcBorders>
              <w:top w:val="nil"/>
              <w:left w:val="nil"/>
              <w:bottom w:val="nil"/>
              <w:right w:val="single" w:sz="18" w:space="0" w:color="000000"/>
            </w:tcBorders>
          </w:tcPr>
          <w:p w14:paraId="2D1DC2C5"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69C5CA0B" w14:textId="77777777" w:rsidR="00052EDC" w:rsidRPr="00B15FCE" w:rsidRDefault="00052EDC" w:rsidP="00AF4A81">
            <w:pPr>
              <w:keepNext/>
              <w:keepLines/>
              <w:spacing w:after="80"/>
              <w:rPr>
                <w:sz w:val="20"/>
                <w:szCs w:val="20"/>
              </w:rPr>
            </w:pPr>
          </w:p>
        </w:tc>
        <w:tc>
          <w:tcPr>
            <w:tcW w:w="7683" w:type="dxa"/>
            <w:gridSpan w:val="3"/>
            <w:tcBorders>
              <w:top w:val="nil"/>
              <w:left w:val="nil"/>
              <w:bottom w:val="single" w:sz="4" w:space="0" w:color="auto"/>
              <w:right w:val="nil"/>
            </w:tcBorders>
          </w:tcPr>
          <w:p w14:paraId="63E4F6F7" w14:textId="77777777" w:rsidR="00052EDC" w:rsidRPr="00B15FCE" w:rsidRDefault="00052EDC" w:rsidP="00AF4A81">
            <w:pPr>
              <w:keepNext/>
              <w:keepLines/>
              <w:spacing w:after="80"/>
              <w:rPr>
                <w:i/>
                <w:sz w:val="20"/>
                <w:szCs w:val="20"/>
              </w:rPr>
            </w:pPr>
          </w:p>
        </w:tc>
      </w:tr>
      <w:tr w:rsidR="00052EDC" w:rsidRPr="00B15FCE" w14:paraId="0433E3BE" w14:textId="77777777" w:rsidTr="00AF4A81">
        <w:trPr>
          <w:cantSplit/>
        </w:trPr>
        <w:tc>
          <w:tcPr>
            <w:tcW w:w="692" w:type="dxa"/>
            <w:tcBorders>
              <w:top w:val="nil"/>
              <w:left w:val="nil"/>
              <w:bottom w:val="nil"/>
              <w:right w:val="single" w:sz="18" w:space="0" w:color="000000"/>
            </w:tcBorders>
          </w:tcPr>
          <w:p w14:paraId="657F8110"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67872DF5"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47FB0677" w14:textId="77777777" w:rsidR="00052EDC" w:rsidRPr="00B15FCE" w:rsidRDefault="00052EDC" w:rsidP="00AF4A81">
            <w:pPr>
              <w:keepNext/>
              <w:keepLines/>
              <w:spacing w:after="80"/>
              <w:rPr>
                <w:sz w:val="20"/>
                <w:szCs w:val="20"/>
              </w:rPr>
            </w:pPr>
            <w:r w:rsidRPr="00B15FCE">
              <w:rPr>
                <w:b/>
                <w:sz w:val="20"/>
                <w:szCs w:val="20"/>
              </w:rPr>
              <w:t>5d. '</w:t>
            </w:r>
            <w:r>
              <w:rPr>
                <w:b/>
                <w:sz w:val="20"/>
                <w:szCs w:val="20"/>
              </w:rPr>
              <w:t>Added rosemary extract only_Usual Use</w:t>
            </w:r>
            <w:r w:rsidRPr="00B15FCE">
              <w:rPr>
                <w:b/>
                <w:sz w:val="20"/>
                <w:szCs w:val="20"/>
              </w:rPr>
              <w:t>' Scenario</w:t>
            </w:r>
          </w:p>
        </w:tc>
      </w:tr>
      <w:tr w:rsidR="00052EDC" w:rsidRPr="00B15FCE" w14:paraId="15C8E83D" w14:textId="77777777" w:rsidTr="00AF4A81">
        <w:trPr>
          <w:cantSplit/>
        </w:trPr>
        <w:tc>
          <w:tcPr>
            <w:tcW w:w="692" w:type="dxa"/>
            <w:tcBorders>
              <w:top w:val="nil"/>
              <w:left w:val="nil"/>
              <w:bottom w:val="nil"/>
              <w:right w:val="single" w:sz="18" w:space="0" w:color="000000"/>
            </w:tcBorders>
          </w:tcPr>
          <w:p w14:paraId="55B4A1B3" w14:textId="77777777" w:rsidR="00052EDC" w:rsidRPr="00B15FCE" w:rsidRDefault="00052EDC" w:rsidP="00AF4A81">
            <w:pPr>
              <w:keepNext/>
              <w:keepLines/>
              <w:spacing w:after="80"/>
              <w:rPr>
                <w:sz w:val="20"/>
                <w:szCs w:val="20"/>
              </w:rPr>
            </w:pPr>
          </w:p>
        </w:tc>
        <w:tc>
          <w:tcPr>
            <w:tcW w:w="692" w:type="dxa"/>
            <w:tcBorders>
              <w:top w:val="single" w:sz="18" w:space="0" w:color="000000"/>
              <w:left w:val="single" w:sz="18" w:space="0" w:color="000000"/>
              <w:bottom w:val="nil"/>
            </w:tcBorders>
          </w:tcPr>
          <w:p w14:paraId="0DAC3A47" w14:textId="77777777" w:rsidR="00052EDC" w:rsidRPr="00B15FCE" w:rsidRDefault="00052EDC" w:rsidP="00AF4A81">
            <w:pPr>
              <w:keepNext/>
              <w:keepLines/>
              <w:spacing w:after="80"/>
              <w:rPr>
                <w:sz w:val="20"/>
                <w:szCs w:val="20"/>
              </w:rPr>
            </w:pPr>
          </w:p>
        </w:tc>
        <w:tc>
          <w:tcPr>
            <w:tcW w:w="7683" w:type="dxa"/>
            <w:gridSpan w:val="3"/>
            <w:tcBorders>
              <w:top w:val="nil"/>
            </w:tcBorders>
          </w:tcPr>
          <w:p w14:paraId="23447F00" w14:textId="190287AF" w:rsidR="00052EDC" w:rsidRPr="00B15FCE" w:rsidRDefault="00052EDC" w:rsidP="00AF4A81">
            <w:pPr>
              <w:keepNext/>
              <w:keepLines/>
              <w:spacing w:after="80"/>
              <w:rPr>
                <w:sz w:val="20"/>
                <w:szCs w:val="20"/>
              </w:rPr>
            </w:pPr>
            <w:r>
              <w:rPr>
                <w:i/>
                <w:sz w:val="20"/>
                <w:szCs w:val="20"/>
              </w:rPr>
              <w:t>I</w:t>
            </w:r>
            <w:r w:rsidRPr="00A3308A">
              <w:rPr>
                <w:i/>
                <w:sz w:val="20"/>
                <w:szCs w:val="20"/>
              </w:rPr>
              <w:t xml:space="preserve">ncludes only the Usual Use levels as provided by the </w:t>
            </w:r>
            <w:r w:rsidR="005D6D72">
              <w:rPr>
                <w:i/>
                <w:sz w:val="20"/>
                <w:szCs w:val="20"/>
              </w:rPr>
              <w:t>a</w:t>
            </w:r>
            <w:r w:rsidRPr="00A3308A">
              <w:rPr>
                <w:i/>
                <w:sz w:val="20"/>
                <w:szCs w:val="20"/>
              </w:rPr>
              <w:t xml:space="preserve">pplicant, at 100% market penetration into each category requested. </w:t>
            </w:r>
            <w:r>
              <w:rPr>
                <w:i/>
                <w:sz w:val="20"/>
                <w:szCs w:val="20"/>
              </w:rPr>
              <w:t>D</w:t>
            </w:r>
            <w:r w:rsidRPr="00A3308A">
              <w:rPr>
                <w:i/>
                <w:sz w:val="20"/>
                <w:szCs w:val="20"/>
              </w:rPr>
              <w:t xml:space="preserve">oes not include the contribution from </w:t>
            </w:r>
            <w:r>
              <w:rPr>
                <w:i/>
                <w:sz w:val="20"/>
                <w:szCs w:val="20"/>
              </w:rPr>
              <w:t xml:space="preserve">naturally occurring levels in </w:t>
            </w:r>
            <w:r w:rsidRPr="00A3308A">
              <w:rPr>
                <w:i/>
                <w:sz w:val="20"/>
                <w:szCs w:val="20"/>
              </w:rPr>
              <w:t>rosemary leaves.</w:t>
            </w:r>
          </w:p>
        </w:tc>
      </w:tr>
      <w:tr w:rsidR="00052EDC" w:rsidRPr="00B15FCE" w14:paraId="56BDE0C0" w14:textId="77777777" w:rsidTr="00AF4A81">
        <w:trPr>
          <w:cantSplit/>
        </w:trPr>
        <w:tc>
          <w:tcPr>
            <w:tcW w:w="692" w:type="dxa"/>
            <w:tcBorders>
              <w:top w:val="nil"/>
              <w:left w:val="nil"/>
              <w:bottom w:val="nil"/>
              <w:right w:val="single" w:sz="18" w:space="0" w:color="000000"/>
            </w:tcBorders>
          </w:tcPr>
          <w:p w14:paraId="57821957"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nil"/>
              <w:right w:val="nil"/>
            </w:tcBorders>
          </w:tcPr>
          <w:p w14:paraId="35130CC0" w14:textId="77777777" w:rsidR="00052EDC" w:rsidRPr="00B15FCE" w:rsidRDefault="00052EDC" w:rsidP="00AF4A81">
            <w:pPr>
              <w:keepNext/>
              <w:keepLines/>
              <w:spacing w:after="80"/>
              <w:rPr>
                <w:sz w:val="20"/>
                <w:szCs w:val="20"/>
              </w:rPr>
            </w:pPr>
          </w:p>
        </w:tc>
        <w:tc>
          <w:tcPr>
            <w:tcW w:w="7683" w:type="dxa"/>
            <w:gridSpan w:val="3"/>
            <w:tcBorders>
              <w:top w:val="nil"/>
              <w:left w:val="nil"/>
              <w:bottom w:val="nil"/>
              <w:right w:val="nil"/>
            </w:tcBorders>
          </w:tcPr>
          <w:p w14:paraId="36DCFC0A" w14:textId="77777777" w:rsidR="00052EDC" w:rsidRPr="00B15FCE" w:rsidRDefault="00052EDC" w:rsidP="00AF4A81">
            <w:pPr>
              <w:keepNext/>
              <w:keepLines/>
              <w:spacing w:after="80"/>
              <w:rPr>
                <w:i/>
                <w:sz w:val="20"/>
                <w:szCs w:val="20"/>
              </w:rPr>
            </w:pPr>
          </w:p>
        </w:tc>
      </w:tr>
      <w:tr w:rsidR="00052EDC" w:rsidRPr="00B15FCE" w14:paraId="7ABB553C" w14:textId="77777777" w:rsidTr="00AF4A81">
        <w:trPr>
          <w:cantSplit/>
        </w:trPr>
        <w:tc>
          <w:tcPr>
            <w:tcW w:w="692" w:type="dxa"/>
            <w:tcBorders>
              <w:top w:val="nil"/>
              <w:left w:val="nil"/>
              <w:bottom w:val="nil"/>
              <w:right w:val="single" w:sz="18" w:space="0" w:color="000000"/>
            </w:tcBorders>
          </w:tcPr>
          <w:p w14:paraId="4D640CC7" w14:textId="77777777" w:rsidR="00052EDC" w:rsidRPr="00B15FCE" w:rsidRDefault="00052EDC" w:rsidP="00AF4A81">
            <w:pPr>
              <w:keepNext/>
              <w:keepLines/>
              <w:spacing w:after="80"/>
              <w:rPr>
                <w:sz w:val="20"/>
                <w:szCs w:val="20"/>
              </w:rPr>
            </w:pPr>
          </w:p>
        </w:tc>
        <w:tc>
          <w:tcPr>
            <w:tcW w:w="692" w:type="dxa"/>
            <w:tcBorders>
              <w:top w:val="nil"/>
              <w:left w:val="single" w:sz="18" w:space="0" w:color="000000"/>
              <w:bottom w:val="single" w:sz="18" w:space="0" w:color="000000"/>
            </w:tcBorders>
          </w:tcPr>
          <w:p w14:paraId="124AFEC5" w14:textId="77777777" w:rsidR="00052EDC" w:rsidRPr="00B15FCE" w:rsidRDefault="00052EDC" w:rsidP="00AF4A81">
            <w:pPr>
              <w:keepNext/>
              <w:keepLines/>
              <w:spacing w:after="80"/>
              <w:rPr>
                <w:sz w:val="20"/>
                <w:szCs w:val="20"/>
              </w:rPr>
            </w:pPr>
          </w:p>
        </w:tc>
        <w:tc>
          <w:tcPr>
            <w:tcW w:w="7683" w:type="dxa"/>
            <w:gridSpan w:val="3"/>
            <w:tcBorders>
              <w:bottom w:val="nil"/>
            </w:tcBorders>
          </w:tcPr>
          <w:p w14:paraId="621C8230" w14:textId="77777777" w:rsidR="00052EDC" w:rsidRPr="00B15FCE" w:rsidRDefault="00052EDC" w:rsidP="00AF4A81">
            <w:pPr>
              <w:keepNext/>
              <w:keepLines/>
              <w:spacing w:after="80"/>
              <w:rPr>
                <w:b/>
                <w:sz w:val="20"/>
                <w:szCs w:val="20"/>
              </w:rPr>
            </w:pPr>
            <w:r w:rsidRPr="00B15FCE">
              <w:rPr>
                <w:b/>
                <w:sz w:val="20"/>
                <w:szCs w:val="20"/>
              </w:rPr>
              <w:t>5e. '</w:t>
            </w:r>
            <w:r>
              <w:rPr>
                <w:b/>
                <w:sz w:val="20"/>
                <w:szCs w:val="20"/>
              </w:rPr>
              <w:t>Naturally-occurring plus added rosemary extract_Usual Use</w:t>
            </w:r>
            <w:r w:rsidRPr="00B15FCE">
              <w:rPr>
                <w:b/>
                <w:sz w:val="20"/>
                <w:szCs w:val="20"/>
              </w:rPr>
              <w:t>' Scenario</w:t>
            </w:r>
          </w:p>
        </w:tc>
      </w:tr>
      <w:tr w:rsidR="00052EDC" w:rsidRPr="00B15FCE" w14:paraId="1293EA06" w14:textId="77777777" w:rsidTr="00AF4A81">
        <w:trPr>
          <w:cantSplit/>
        </w:trPr>
        <w:tc>
          <w:tcPr>
            <w:tcW w:w="692" w:type="dxa"/>
            <w:tcBorders>
              <w:top w:val="nil"/>
              <w:left w:val="nil"/>
              <w:bottom w:val="nil"/>
              <w:right w:val="nil"/>
            </w:tcBorders>
          </w:tcPr>
          <w:p w14:paraId="7FC1CAEA" w14:textId="77777777" w:rsidR="00052EDC" w:rsidRPr="00B15FCE" w:rsidRDefault="00052EDC" w:rsidP="00AF4A81">
            <w:pPr>
              <w:keepNext/>
              <w:keepLines/>
              <w:spacing w:after="80"/>
              <w:rPr>
                <w:sz w:val="20"/>
                <w:szCs w:val="20"/>
              </w:rPr>
            </w:pPr>
          </w:p>
        </w:tc>
        <w:tc>
          <w:tcPr>
            <w:tcW w:w="692" w:type="dxa"/>
            <w:tcBorders>
              <w:top w:val="single" w:sz="18" w:space="0" w:color="000000"/>
              <w:left w:val="nil"/>
              <w:bottom w:val="nil"/>
            </w:tcBorders>
          </w:tcPr>
          <w:p w14:paraId="48927768" w14:textId="77777777" w:rsidR="00052EDC" w:rsidRPr="00B15FCE" w:rsidRDefault="00052EDC" w:rsidP="00AF4A81">
            <w:pPr>
              <w:keepNext/>
              <w:keepLines/>
              <w:spacing w:after="80"/>
              <w:rPr>
                <w:sz w:val="20"/>
                <w:szCs w:val="20"/>
              </w:rPr>
            </w:pPr>
          </w:p>
        </w:tc>
        <w:tc>
          <w:tcPr>
            <w:tcW w:w="7683" w:type="dxa"/>
            <w:gridSpan w:val="3"/>
            <w:tcBorders>
              <w:top w:val="nil"/>
            </w:tcBorders>
          </w:tcPr>
          <w:p w14:paraId="35FBA91F" w14:textId="081B9AF1" w:rsidR="00052EDC" w:rsidRPr="00A3308A" w:rsidRDefault="00052EDC" w:rsidP="00AF4A81">
            <w:pPr>
              <w:keepNext/>
              <w:keepLines/>
              <w:spacing w:after="80"/>
              <w:rPr>
                <w:i/>
                <w:sz w:val="20"/>
                <w:szCs w:val="20"/>
              </w:rPr>
            </w:pPr>
            <w:r>
              <w:rPr>
                <w:i/>
                <w:sz w:val="20"/>
                <w:szCs w:val="20"/>
              </w:rPr>
              <w:t>I</w:t>
            </w:r>
            <w:r w:rsidRPr="00A3308A">
              <w:rPr>
                <w:i/>
                <w:sz w:val="20"/>
                <w:szCs w:val="20"/>
              </w:rPr>
              <w:t xml:space="preserve">ncludes Naturally-occurring scenario plus Usual Use levels as provided by the </w:t>
            </w:r>
            <w:r w:rsidR="005D6D72">
              <w:rPr>
                <w:i/>
                <w:sz w:val="20"/>
                <w:szCs w:val="20"/>
              </w:rPr>
              <w:t>a</w:t>
            </w:r>
            <w:r w:rsidRPr="00A3308A">
              <w:rPr>
                <w:i/>
                <w:sz w:val="20"/>
                <w:szCs w:val="20"/>
              </w:rPr>
              <w:t xml:space="preserve">pplicant, at 100% market penetration into each category requested. </w:t>
            </w:r>
            <w:r>
              <w:rPr>
                <w:i/>
                <w:sz w:val="20"/>
                <w:szCs w:val="20"/>
              </w:rPr>
              <w:t>I</w:t>
            </w:r>
            <w:r w:rsidRPr="00A3308A">
              <w:rPr>
                <w:i/>
                <w:sz w:val="20"/>
                <w:szCs w:val="20"/>
              </w:rPr>
              <w:t xml:space="preserve">ncludes the contribution from </w:t>
            </w:r>
            <w:r>
              <w:rPr>
                <w:i/>
                <w:sz w:val="20"/>
                <w:szCs w:val="20"/>
              </w:rPr>
              <w:t xml:space="preserve">naturally occurring levels in </w:t>
            </w:r>
            <w:r w:rsidRPr="00A3308A">
              <w:rPr>
                <w:i/>
                <w:sz w:val="20"/>
                <w:szCs w:val="20"/>
              </w:rPr>
              <w:t>rosemary leaves.</w:t>
            </w:r>
          </w:p>
        </w:tc>
      </w:tr>
    </w:tbl>
    <w:p w14:paraId="4F85A0E6" w14:textId="77777777" w:rsidR="00052EDC" w:rsidRDefault="00052EDC" w:rsidP="00052EDC">
      <w:pPr>
        <w:keepNext/>
        <w:keepLines/>
      </w:pPr>
    </w:p>
    <w:p w14:paraId="547A84A6" w14:textId="3FFED750" w:rsidR="00052EDC" w:rsidRPr="00B24DC9" w:rsidRDefault="00052EDC" w:rsidP="00052EDC">
      <w:pPr>
        <w:pStyle w:val="FSFigureTitle"/>
        <w:keepNext/>
        <w:keepLines/>
      </w:pPr>
      <w:r>
        <w:t>Figure 4.</w:t>
      </w:r>
      <w:r w:rsidR="00BD09F0">
        <w:fldChar w:fldCharType="begin"/>
      </w:r>
      <w:r w:rsidR="00BD09F0">
        <w:instrText xml:space="preserve"> SEQ Figure \* ARABIC </w:instrText>
      </w:r>
      <w:r w:rsidR="00BD09F0">
        <w:fldChar w:fldCharType="separate"/>
      </w:r>
      <w:r w:rsidR="004C731A">
        <w:rPr>
          <w:noProof/>
        </w:rPr>
        <w:t>1</w:t>
      </w:r>
      <w:r w:rsidR="00BD09F0">
        <w:rPr>
          <w:noProof/>
        </w:rPr>
        <w:fldChar w:fldCharType="end"/>
      </w:r>
      <w:r>
        <w:t xml:space="preserve">: </w:t>
      </w:r>
      <w:r w:rsidRPr="00B24DC9">
        <w:t xml:space="preserve">Dietary modelling approach used for assessing </w:t>
      </w:r>
      <w:r>
        <w:t>dietary exposure to carnosic acid plus carnosol</w:t>
      </w:r>
      <w:r w:rsidRPr="00B24DC9">
        <w:t xml:space="preserve"> for Australia and </w:t>
      </w:r>
      <w:r w:rsidRPr="00087613">
        <w:t>New</w:t>
      </w:r>
      <w:r w:rsidRPr="00B24DC9">
        <w:t xml:space="preserve"> Zealand</w:t>
      </w:r>
    </w:p>
    <w:p w14:paraId="58390458" w14:textId="77777777" w:rsidR="00052EDC" w:rsidRPr="00052EDC" w:rsidRDefault="00052EDC" w:rsidP="00052EDC"/>
    <w:p w14:paraId="787DD96C" w14:textId="3FE6132D" w:rsidR="00983FFA" w:rsidRPr="00B748C3" w:rsidRDefault="00983FFA" w:rsidP="00B748C3">
      <w:pPr>
        <w:pStyle w:val="FSTableTitle"/>
        <w:keepNext/>
        <w:keepLines/>
        <w:spacing w:after="120"/>
        <w:rPr>
          <w:i/>
        </w:rPr>
      </w:pPr>
      <w:r w:rsidRPr="00B748C3">
        <w:rPr>
          <w:i/>
        </w:rPr>
        <w:lastRenderedPageBreak/>
        <w:t>Table</w:t>
      </w:r>
      <w:r w:rsidR="008F66D7"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3</w:t>
      </w:r>
      <w:r w:rsidR="00BD2527" w:rsidRPr="00B748C3">
        <w:rPr>
          <w:i/>
          <w:noProof/>
        </w:rPr>
        <w:fldChar w:fldCharType="end"/>
      </w:r>
      <w:bookmarkEnd w:id="152"/>
      <w:r w:rsidRPr="00B748C3">
        <w:rPr>
          <w:i/>
        </w:rPr>
        <w:t>: Population groups used in the dietary exposure assessment</w:t>
      </w:r>
    </w:p>
    <w:tbl>
      <w:tblPr>
        <w:tblStyle w:val="Table"/>
        <w:tblW w:w="5024" w:type="pct"/>
        <w:tblInd w:w="5" w:type="dxa"/>
        <w:tblLayout w:type="fixed"/>
        <w:tblLook w:val="04A0" w:firstRow="1" w:lastRow="0" w:firstColumn="1" w:lastColumn="0" w:noHBand="0" w:noVBand="1"/>
        <w:tblDescription w:val="Number of respondents on Day 1 of the Australian and New Zealand National Nutrition Surveys and the number of respondents who had 2 days of intake in the 2011-12 NNPAS."/>
      </w:tblPr>
      <w:tblGrid>
        <w:gridCol w:w="1554"/>
        <w:gridCol w:w="1843"/>
        <w:gridCol w:w="1526"/>
        <w:gridCol w:w="1816"/>
        <w:gridCol w:w="2375"/>
      </w:tblGrid>
      <w:tr w:rsidR="00983FFA" w:rsidRPr="0015469A" w14:paraId="4FBEB199" w14:textId="77777777" w:rsidTr="000F331A">
        <w:trPr>
          <w:cnfStyle w:val="100000000000" w:firstRow="1" w:lastRow="0" w:firstColumn="0" w:lastColumn="0" w:oddVBand="0" w:evenVBand="0" w:oddHBand="0" w:evenHBand="0" w:firstRowFirstColumn="0" w:firstRowLastColumn="0" w:lastRowFirstColumn="0" w:lastRowLastColumn="0"/>
        </w:trPr>
        <w:tc>
          <w:tcPr>
            <w:tcW w:w="853" w:type="pct"/>
          </w:tcPr>
          <w:p w14:paraId="0F0AF049" w14:textId="77777777" w:rsidR="00983FFA" w:rsidRPr="0015469A" w:rsidRDefault="00983FFA" w:rsidP="000F331A">
            <w:pPr>
              <w:keepNext/>
              <w:keepLines/>
              <w:spacing w:before="60" w:after="60"/>
              <w:ind w:left="25" w:right="0"/>
              <w:rPr>
                <w:rFonts w:cs="Arial"/>
                <w:bCs/>
                <w:sz w:val="20"/>
                <w:szCs w:val="20"/>
              </w:rPr>
            </w:pPr>
            <w:r w:rsidRPr="0015469A">
              <w:rPr>
                <w:rFonts w:cs="Arial"/>
                <w:bCs/>
                <w:sz w:val="20"/>
                <w:szCs w:val="20"/>
              </w:rPr>
              <w:t>Country</w:t>
            </w:r>
          </w:p>
        </w:tc>
        <w:tc>
          <w:tcPr>
            <w:tcW w:w="1011" w:type="pct"/>
            <w:hideMark/>
          </w:tcPr>
          <w:p w14:paraId="31B0D14D" w14:textId="77777777" w:rsidR="00983FFA" w:rsidRPr="0015469A" w:rsidRDefault="00983FFA" w:rsidP="00983FFA">
            <w:pPr>
              <w:keepNext/>
              <w:keepLines/>
              <w:spacing w:before="60" w:after="60"/>
              <w:rPr>
                <w:rFonts w:cs="Arial"/>
                <w:bCs/>
                <w:sz w:val="20"/>
                <w:szCs w:val="20"/>
              </w:rPr>
            </w:pPr>
            <w:r w:rsidRPr="0015469A">
              <w:rPr>
                <w:rFonts w:cs="Arial"/>
                <w:bCs/>
                <w:sz w:val="20"/>
                <w:szCs w:val="20"/>
              </w:rPr>
              <w:t>Survey</w:t>
            </w:r>
          </w:p>
        </w:tc>
        <w:tc>
          <w:tcPr>
            <w:tcW w:w="837" w:type="pct"/>
            <w:hideMark/>
          </w:tcPr>
          <w:p w14:paraId="675A33F6" w14:textId="77777777" w:rsidR="00983FFA" w:rsidRPr="0015469A" w:rsidRDefault="00983FFA" w:rsidP="00983FFA">
            <w:pPr>
              <w:keepNext/>
              <w:keepLines/>
              <w:spacing w:before="60" w:after="60"/>
              <w:rPr>
                <w:rFonts w:cs="Arial"/>
                <w:bCs/>
                <w:sz w:val="20"/>
                <w:szCs w:val="20"/>
              </w:rPr>
            </w:pPr>
            <w:r w:rsidRPr="0015469A">
              <w:rPr>
                <w:rFonts w:cs="Arial"/>
                <w:bCs/>
                <w:sz w:val="20"/>
                <w:szCs w:val="20"/>
              </w:rPr>
              <w:t>Age group</w:t>
            </w:r>
          </w:p>
        </w:tc>
        <w:tc>
          <w:tcPr>
            <w:tcW w:w="996" w:type="pct"/>
            <w:hideMark/>
          </w:tcPr>
          <w:p w14:paraId="0A885F07" w14:textId="77777777" w:rsidR="00983FFA" w:rsidRPr="0015469A" w:rsidRDefault="00983FFA" w:rsidP="000F331A">
            <w:pPr>
              <w:keepNext/>
              <w:keepLines/>
              <w:spacing w:before="60" w:after="60"/>
              <w:ind w:left="30" w:right="-21"/>
              <w:jc w:val="center"/>
              <w:rPr>
                <w:rFonts w:cs="Arial"/>
                <w:bCs/>
                <w:sz w:val="20"/>
                <w:szCs w:val="20"/>
              </w:rPr>
            </w:pPr>
            <w:r w:rsidRPr="0015469A">
              <w:rPr>
                <w:rFonts w:cs="Arial"/>
                <w:bCs/>
                <w:sz w:val="20"/>
                <w:szCs w:val="20"/>
              </w:rPr>
              <w:t>No. respondents (Day 1 only)</w:t>
            </w:r>
          </w:p>
        </w:tc>
        <w:tc>
          <w:tcPr>
            <w:tcW w:w="1303" w:type="pct"/>
          </w:tcPr>
          <w:p w14:paraId="2CB25048" w14:textId="77777777" w:rsidR="00983FFA" w:rsidRPr="0015469A" w:rsidRDefault="00983FFA" w:rsidP="00983FFA">
            <w:pPr>
              <w:keepNext/>
              <w:keepLines/>
              <w:spacing w:before="60" w:after="60"/>
              <w:jc w:val="center"/>
              <w:rPr>
                <w:rFonts w:cs="Arial"/>
                <w:bCs/>
                <w:sz w:val="20"/>
                <w:szCs w:val="20"/>
              </w:rPr>
            </w:pPr>
            <w:r w:rsidRPr="0015469A">
              <w:rPr>
                <w:rFonts w:cs="Arial"/>
                <w:bCs/>
                <w:sz w:val="20"/>
                <w:szCs w:val="20"/>
              </w:rPr>
              <w:t>No. respondents (Day 1 and 2)</w:t>
            </w:r>
          </w:p>
        </w:tc>
      </w:tr>
      <w:tr w:rsidR="00983FFA" w:rsidRPr="0015469A" w14:paraId="3C94C735" w14:textId="77777777" w:rsidTr="00B748C3">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61B01372" w14:textId="77777777" w:rsidR="00983FFA" w:rsidRPr="0015469A" w:rsidRDefault="00983FFA" w:rsidP="000F331A">
            <w:pPr>
              <w:keepNext/>
              <w:keepLines/>
              <w:spacing w:before="60" w:after="60"/>
              <w:ind w:left="25"/>
              <w:rPr>
                <w:rFonts w:cs="Arial"/>
                <w:b/>
                <w:color w:val="000000"/>
                <w:sz w:val="20"/>
                <w:szCs w:val="20"/>
              </w:rPr>
            </w:pPr>
            <w:r w:rsidRPr="0015469A">
              <w:rPr>
                <w:rFonts w:cs="Arial"/>
                <w:b/>
                <w:color w:val="000000"/>
                <w:sz w:val="20"/>
                <w:szCs w:val="20"/>
              </w:rPr>
              <w:t>Australia</w:t>
            </w:r>
          </w:p>
        </w:tc>
        <w:tc>
          <w:tcPr>
            <w:tcW w:w="1011" w:type="pct"/>
          </w:tcPr>
          <w:p w14:paraId="3AE6E697"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2011-12 NNPAS</w:t>
            </w:r>
          </w:p>
        </w:tc>
        <w:tc>
          <w:tcPr>
            <w:tcW w:w="837" w:type="pct"/>
          </w:tcPr>
          <w:p w14:paraId="4728F118"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 years and above</w:t>
            </w:r>
          </w:p>
        </w:tc>
        <w:tc>
          <w:tcPr>
            <w:tcW w:w="996" w:type="pct"/>
            <w:noWrap/>
          </w:tcPr>
          <w:p w14:paraId="08B5EF14"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n/a</w:t>
            </w:r>
          </w:p>
        </w:tc>
        <w:tc>
          <w:tcPr>
            <w:tcW w:w="1303" w:type="pct"/>
          </w:tcPr>
          <w:p w14:paraId="46A17F13"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7,735</w:t>
            </w:r>
          </w:p>
        </w:tc>
      </w:tr>
      <w:tr w:rsidR="00983FFA" w:rsidRPr="0015469A" w14:paraId="3202A9D6" w14:textId="77777777" w:rsidTr="00B748C3">
        <w:trPr>
          <w:cnfStyle w:val="000000010000" w:firstRow="0" w:lastRow="0" w:firstColumn="0" w:lastColumn="0" w:oddVBand="0" w:evenVBand="0" w:oddHBand="0" w:evenHBand="1" w:firstRowFirstColumn="0" w:firstRowLastColumn="0" w:lastRowFirstColumn="0" w:lastRowLastColumn="0"/>
          <w:trHeight w:val="283"/>
        </w:trPr>
        <w:tc>
          <w:tcPr>
            <w:tcW w:w="853" w:type="pct"/>
          </w:tcPr>
          <w:p w14:paraId="32AB04C9" w14:textId="77777777" w:rsidR="00983FFA" w:rsidRPr="0015469A" w:rsidRDefault="00983FFA" w:rsidP="000F331A">
            <w:pPr>
              <w:keepNext/>
              <w:keepLines/>
              <w:spacing w:before="60" w:after="60"/>
              <w:ind w:left="25"/>
              <w:rPr>
                <w:rFonts w:cs="Arial"/>
                <w:b/>
                <w:color w:val="000000"/>
                <w:sz w:val="20"/>
                <w:szCs w:val="20"/>
              </w:rPr>
            </w:pPr>
            <w:r w:rsidRPr="0015469A">
              <w:rPr>
                <w:rFonts w:cs="Arial"/>
                <w:b/>
                <w:color w:val="000000"/>
                <w:sz w:val="20"/>
                <w:szCs w:val="20"/>
              </w:rPr>
              <w:t>New Zealand</w:t>
            </w:r>
          </w:p>
        </w:tc>
        <w:tc>
          <w:tcPr>
            <w:tcW w:w="1011" w:type="pct"/>
            <w:hideMark/>
          </w:tcPr>
          <w:p w14:paraId="65E36643"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2002 NZ CNS</w:t>
            </w:r>
          </w:p>
        </w:tc>
        <w:tc>
          <w:tcPr>
            <w:tcW w:w="837" w:type="pct"/>
            <w:hideMark/>
          </w:tcPr>
          <w:p w14:paraId="5FD710F9"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5 – 14 years</w:t>
            </w:r>
          </w:p>
        </w:tc>
        <w:tc>
          <w:tcPr>
            <w:tcW w:w="996" w:type="pct"/>
            <w:noWrap/>
            <w:hideMark/>
          </w:tcPr>
          <w:p w14:paraId="58B30B3B"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3,275</w:t>
            </w:r>
          </w:p>
        </w:tc>
        <w:tc>
          <w:tcPr>
            <w:tcW w:w="1303" w:type="pct"/>
          </w:tcPr>
          <w:p w14:paraId="67C2AA0D"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n/a</w:t>
            </w:r>
          </w:p>
        </w:tc>
      </w:tr>
      <w:tr w:rsidR="00983FFA" w:rsidRPr="0015469A" w14:paraId="74392C88" w14:textId="77777777" w:rsidTr="00B748C3">
        <w:trPr>
          <w:cnfStyle w:val="000000100000" w:firstRow="0" w:lastRow="0" w:firstColumn="0" w:lastColumn="0" w:oddVBand="0" w:evenVBand="0" w:oddHBand="1" w:evenHBand="0" w:firstRowFirstColumn="0" w:firstRowLastColumn="0" w:lastRowFirstColumn="0" w:lastRowLastColumn="0"/>
          <w:trHeight w:val="283"/>
        </w:trPr>
        <w:tc>
          <w:tcPr>
            <w:tcW w:w="853" w:type="pct"/>
          </w:tcPr>
          <w:p w14:paraId="2B3A4CE9" w14:textId="77777777" w:rsidR="00983FFA" w:rsidRPr="0015469A" w:rsidRDefault="00983FFA" w:rsidP="000F331A">
            <w:pPr>
              <w:keepNext/>
              <w:keepLines/>
              <w:spacing w:before="60" w:after="60"/>
              <w:ind w:left="25"/>
              <w:rPr>
                <w:rFonts w:cs="Arial"/>
                <w:b/>
                <w:color w:val="000000"/>
                <w:sz w:val="20"/>
                <w:szCs w:val="20"/>
              </w:rPr>
            </w:pPr>
          </w:p>
        </w:tc>
        <w:tc>
          <w:tcPr>
            <w:tcW w:w="1011" w:type="pct"/>
            <w:hideMark/>
          </w:tcPr>
          <w:p w14:paraId="76A55C22"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2008 NZ ANS</w:t>
            </w:r>
          </w:p>
        </w:tc>
        <w:tc>
          <w:tcPr>
            <w:tcW w:w="837" w:type="pct"/>
            <w:hideMark/>
          </w:tcPr>
          <w:p w14:paraId="40CC8E38" w14:textId="77777777" w:rsidR="00983FFA" w:rsidRPr="0015469A" w:rsidRDefault="00983FFA" w:rsidP="00983FFA">
            <w:pPr>
              <w:keepNext/>
              <w:keepLines/>
              <w:spacing w:before="60" w:after="60"/>
              <w:rPr>
                <w:rFonts w:cs="Arial"/>
                <w:color w:val="000000"/>
                <w:sz w:val="20"/>
                <w:szCs w:val="20"/>
              </w:rPr>
            </w:pPr>
            <w:r w:rsidRPr="0015469A">
              <w:rPr>
                <w:rFonts w:cs="Arial"/>
                <w:color w:val="000000"/>
                <w:sz w:val="20"/>
                <w:szCs w:val="20"/>
              </w:rPr>
              <w:t>15 years and above</w:t>
            </w:r>
          </w:p>
        </w:tc>
        <w:tc>
          <w:tcPr>
            <w:tcW w:w="996" w:type="pct"/>
            <w:noWrap/>
            <w:hideMark/>
          </w:tcPr>
          <w:p w14:paraId="0278DC94" w14:textId="77777777" w:rsidR="00983FFA" w:rsidRPr="0015469A" w:rsidRDefault="00983FFA" w:rsidP="00983FFA">
            <w:pPr>
              <w:keepNext/>
              <w:keepLines/>
              <w:tabs>
                <w:tab w:val="decimal" w:pos="1182"/>
              </w:tabs>
              <w:spacing w:before="60" w:after="60"/>
              <w:rPr>
                <w:rFonts w:cs="Arial"/>
                <w:color w:val="000000"/>
                <w:sz w:val="20"/>
                <w:szCs w:val="20"/>
              </w:rPr>
            </w:pPr>
            <w:r w:rsidRPr="0015469A">
              <w:rPr>
                <w:rFonts w:cs="Arial"/>
                <w:color w:val="000000"/>
                <w:sz w:val="20"/>
                <w:szCs w:val="20"/>
              </w:rPr>
              <w:t>4,721</w:t>
            </w:r>
          </w:p>
        </w:tc>
        <w:tc>
          <w:tcPr>
            <w:tcW w:w="1303" w:type="pct"/>
          </w:tcPr>
          <w:p w14:paraId="71B2D242" w14:textId="77777777" w:rsidR="00983FFA" w:rsidRPr="0015469A" w:rsidRDefault="00983FFA" w:rsidP="00983FFA">
            <w:pPr>
              <w:keepNext/>
              <w:keepLines/>
              <w:tabs>
                <w:tab w:val="decimal" w:pos="1100"/>
              </w:tabs>
              <w:spacing w:before="60" w:after="60"/>
              <w:rPr>
                <w:rFonts w:cs="Arial"/>
                <w:color w:val="000000"/>
                <w:sz w:val="20"/>
                <w:szCs w:val="20"/>
              </w:rPr>
            </w:pPr>
            <w:r w:rsidRPr="0015469A">
              <w:rPr>
                <w:rFonts w:cs="Arial"/>
                <w:color w:val="000000"/>
                <w:sz w:val="20"/>
                <w:szCs w:val="20"/>
              </w:rPr>
              <w:t>n/a</w:t>
            </w:r>
          </w:p>
        </w:tc>
      </w:tr>
    </w:tbl>
    <w:p w14:paraId="45A95B66" w14:textId="0147BFFA" w:rsidR="008461F5" w:rsidRPr="00A72AB1" w:rsidRDefault="0097427E" w:rsidP="00DF662D">
      <w:pPr>
        <w:pStyle w:val="Heading2"/>
      </w:pPr>
      <w:bookmarkStart w:id="153" w:name="_Toc196808200"/>
      <w:bookmarkStart w:id="154" w:name="_Toc197495463"/>
      <w:bookmarkStart w:id="155" w:name="_Toc508119307"/>
      <w:bookmarkStart w:id="156" w:name="_Toc516668839"/>
      <w:bookmarkStart w:id="157" w:name="_Toc517709897"/>
      <w:bookmarkStart w:id="158" w:name="_Toc518388297"/>
      <w:bookmarkStart w:id="159" w:name="_Toc526498386"/>
      <w:r>
        <w:t>4.2</w:t>
      </w:r>
      <w:r>
        <w:tab/>
      </w:r>
      <w:r w:rsidR="008461F5" w:rsidRPr="00A72AB1">
        <w:t xml:space="preserve">How </w:t>
      </w:r>
      <w:r w:rsidR="008461F5" w:rsidRPr="00BE310C">
        <w:t>were</w:t>
      </w:r>
      <w:r w:rsidR="008461F5" w:rsidRPr="00A72AB1">
        <w:t xml:space="preserve"> the estimated dietary exposures calculated?</w:t>
      </w:r>
      <w:bookmarkEnd w:id="153"/>
      <w:bookmarkEnd w:id="154"/>
      <w:bookmarkEnd w:id="155"/>
      <w:bookmarkEnd w:id="156"/>
      <w:bookmarkEnd w:id="157"/>
      <w:bookmarkEnd w:id="158"/>
      <w:bookmarkEnd w:id="159"/>
    </w:p>
    <w:p w14:paraId="0D24374B" w14:textId="5CB1C0C1" w:rsidR="008461F5" w:rsidRDefault="008461F5" w:rsidP="008461F5">
      <w:pPr>
        <w:keepNext/>
        <w:keepLines/>
      </w:pPr>
      <w:r>
        <w:t xml:space="preserve">Carnosic acid plus </w:t>
      </w:r>
      <w:r w:rsidR="00BB0056">
        <w:t>c</w:t>
      </w:r>
      <w:r>
        <w:t>arnosol</w:t>
      </w:r>
      <w:r w:rsidRPr="000F4580">
        <w:t xml:space="preserve"> dietary exposures were calculated for each individual respondent in the </w:t>
      </w:r>
      <w:r>
        <w:t>national nutrition surveys</w:t>
      </w:r>
      <w:r w:rsidRPr="000F4580">
        <w:t xml:space="preserve"> using their individual food consumption records. The Harvest program multiplied the specified concentrations of </w:t>
      </w:r>
      <w:r w:rsidR="00BB0056">
        <w:t>c</w:t>
      </w:r>
      <w:r>
        <w:t xml:space="preserve">arnosic acid plus </w:t>
      </w:r>
      <w:r w:rsidR="00BB0056">
        <w:t>c</w:t>
      </w:r>
      <w:r>
        <w:t>arnosol</w:t>
      </w:r>
      <w:r w:rsidRPr="000F4580">
        <w:t xml:space="preserve"> for an individual food by the amount of the food that an individual consumed in order to estimate the exposure to </w:t>
      </w:r>
      <w:r w:rsidR="00BB0056">
        <w:t>c</w:t>
      </w:r>
      <w:r>
        <w:t xml:space="preserve">arnosic acid plus </w:t>
      </w:r>
      <w:r w:rsidR="00BB0056">
        <w:t>c</w:t>
      </w:r>
      <w:r>
        <w:t>arnosol</w:t>
      </w:r>
      <w:r w:rsidRPr="000F4580">
        <w:t xml:space="preserve"> from each food. Once this had been completed for all of the foods specified to contain </w:t>
      </w:r>
      <w:r w:rsidR="00BB0056">
        <w:t>c</w:t>
      </w:r>
      <w:r>
        <w:t xml:space="preserve">arnosic acid plus </w:t>
      </w:r>
      <w:r w:rsidR="00BB0056">
        <w:t>c</w:t>
      </w:r>
      <w:r>
        <w:t>arnosol</w:t>
      </w:r>
      <w:r w:rsidRPr="000F4580">
        <w:t xml:space="preserve">, the total amount of </w:t>
      </w:r>
      <w:r w:rsidR="00BB0056">
        <w:t>c</w:t>
      </w:r>
      <w:r>
        <w:t xml:space="preserve">arnosic acid plus </w:t>
      </w:r>
      <w:r w:rsidR="00BB0056">
        <w:t>c</w:t>
      </w:r>
      <w:r>
        <w:t>arnosol</w:t>
      </w:r>
      <w:r w:rsidRPr="000F4580">
        <w:t xml:space="preserve"> consumed from all foods was summed for each individual.</w:t>
      </w:r>
      <w:r>
        <w:t xml:space="preserve"> Where results are expressed on a body weight basis, each individuals body weight was used.</w:t>
      </w:r>
      <w:r w:rsidRPr="000F4580">
        <w:t xml:space="preserve"> Mean and 90</w:t>
      </w:r>
      <w:r w:rsidRPr="000F4580">
        <w:rPr>
          <w:vertAlign w:val="superscript"/>
        </w:rPr>
        <w:t>th</w:t>
      </w:r>
      <w:r w:rsidRPr="000F4580">
        <w:t xml:space="preserve"> percentile (P90) exposures were then derived from the individuals’ ranked </w:t>
      </w:r>
      <w:r>
        <w:t>exposure</w:t>
      </w:r>
      <w:r w:rsidRPr="000F4580">
        <w:t>s.</w:t>
      </w:r>
      <w:r>
        <w:t xml:space="preserve"> Estimated dietary exposures for the population on a body weight basis were compared to the ADI for risk characterisation purposes.</w:t>
      </w:r>
    </w:p>
    <w:p w14:paraId="4169E68D" w14:textId="390BBD25" w:rsidR="008461F5" w:rsidRPr="000F4580" w:rsidRDefault="0097427E" w:rsidP="005137FA">
      <w:pPr>
        <w:pStyle w:val="Heading3"/>
      </w:pPr>
      <w:bookmarkStart w:id="160" w:name="_Toc269201841"/>
      <w:bookmarkStart w:id="161" w:name="_Toc360028619"/>
      <w:bookmarkStart w:id="162" w:name="_Toc415041927"/>
      <w:bookmarkStart w:id="163" w:name="_Toc516668840"/>
      <w:bookmarkStart w:id="164" w:name="_Toc517709898"/>
      <w:bookmarkStart w:id="165" w:name="_Toc518388298"/>
      <w:bookmarkStart w:id="166" w:name="_Toc526498387"/>
      <w:r>
        <w:t>4.2.1</w:t>
      </w:r>
      <w:r>
        <w:tab/>
      </w:r>
      <w:r w:rsidR="008461F5" w:rsidRPr="00BE310C">
        <w:t>Assumptions</w:t>
      </w:r>
      <w:r w:rsidR="008461F5" w:rsidRPr="000F4580">
        <w:t xml:space="preserve"> and limitations of the dietary exposure assessment</w:t>
      </w:r>
      <w:bookmarkEnd w:id="160"/>
      <w:bookmarkEnd w:id="161"/>
      <w:bookmarkEnd w:id="162"/>
      <w:bookmarkEnd w:id="163"/>
      <w:bookmarkEnd w:id="164"/>
      <w:bookmarkEnd w:id="165"/>
      <w:bookmarkEnd w:id="166"/>
    </w:p>
    <w:p w14:paraId="16BE92CE" w14:textId="1DBACE3B" w:rsidR="008461F5" w:rsidRPr="00A72AB1" w:rsidRDefault="008461F5" w:rsidP="008461F5">
      <w:pPr>
        <w:keepNext/>
        <w:keepLines/>
      </w:pPr>
      <w:r w:rsidRPr="00A72AB1">
        <w:t xml:space="preserve">The aim of the dietary exposure assessment was to make the most realistic estimation of dietary exposures to </w:t>
      </w:r>
      <w:r w:rsidR="0048026B">
        <w:t>carnosic acid plus carnosol</w:t>
      </w:r>
      <w:r w:rsidRPr="00A72AB1">
        <w:t xml:space="preserve"> as possible. However, where significant uncertainties in the data existed, conservative assumptions were generally used to ensure that the estimated dietary exposure was not an underestimate of exposure.</w:t>
      </w:r>
    </w:p>
    <w:p w14:paraId="2812ABAC" w14:textId="77777777" w:rsidR="008461F5" w:rsidRPr="00A72AB1" w:rsidRDefault="008461F5" w:rsidP="008461F5">
      <w:pPr>
        <w:keepNext/>
        <w:keepLines/>
      </w:pPr>
      <w:r w:rsidRPr="00A72AB1">
        <w:t>Assumptions made in the dietary exposure assessment included:</w:t>
      </w:r>
    </w:p>
    <w:p w14:paraId="5355C8FF" w14:textId="2B6EBC8E" w:rsidR="00B8671E" w:rsidRDefault="008461F5" w:rsidP="00B8671E">
      <w:pPr>
        <w:pStyle w:val="FSBullet1"/>
        <w:keepNext/>
        <w:keepLines/>
        <w:spacing w:after="60"/>
        <w:ind w:left="499" w:hanging="357"/>
      </w:pPr>
      <w:r w:rsidRPr="00066216">
        <w:t xml:space="preserve">Unless otherwise specified, all foods within a category contain </w:t>
      </w:r>
      <w:r w:rsidR="0048026B">
        <w:t>carnosic acid plus carnosol</w:t>
      </w:r>
      <w:r w:rsidRPr="00066216">
        <w:t xml:space="preserve"> at the concentrations listed in </w:t>
      </w:r>
      <w:r w:rsidR="00B8671E">
        <w:t>Table 4.</w:t>
      </w:r>
      <w:r w:rsidR="00DA0163">
        <w:t>4</w:t>
      </w:r>
    </w:p>
    <w:p w14:paraId="07EB2347" w14:textId="217CFF2B" w:rsidR="008461F5" w:rsidRDefault="008461F5" w:rsidP="00B8671E">
      <w:pPr>
        <w:pStyle w:val="FSBullet1"/>
        <w:keepNext/>
        <w:keepLines/>
        <w:spacing w:after="60"/>
        <w:ind w:left="499" w:hanging="357"/>
      </w:pPr>
      <w:r>
        <w:t>t</w:t>
      </w:r>
      <w:r w:rsidRPr="000E6C39">
        <w:t>he request for addition of rosemary extract to ‘</w:t>
      </w:r>
      <w:r w:rsidRPr="00B8671E">
        <w:rPr>
          <w:i/>
        </w:rPr>
        <w:t>Margarines (solid &amp; liquid only), &lt;80% oil</w:t>
      </w:r>
      <w:r w:rsidRPr="000E6C39">
        <w:t xml:space="preserve">’ </w:t>
      </w:r>
      <w:r>
        <w:t>does not include the addition to</w:t>
      </w:r>
      <w:r w:rsidRPr="000E6C39">
        <w:t xml:space="preserve"> dairy blends</w:t>
      </w:r>
      <w:r>
        <w:t xml:space="preserve"> with &lt;80% oil</w:t>
      </w:r>
    </w:p>
    <w:p w14:paraId="62B502E1" w14:textId="77777777" w:rsidR="008461F5" w:rsidRDefault="008461F5" w:rsidP="008461F5">
      <w:pPr>
        <w:pStyle w:val="FSBullet1"/>
        <w:spacing w:after="60"/>
        <w:ind w:left="499" w:hanging="357"/>
      </w:pPr>
      <w:r>
        <w:t>t</w:t>
      </w:r>
      <w:r w:rsidRPr="000E6C39">
        <w:t>he request for addition of rosemary extract to ‘</w:t>
      </w:r>
      <w:r w:rsidRPr="00DE0B99">
        <w:rPr>
          <w:i/>
        </w:rPr>
        <w:t>Nut butters &amp; nut spreads</w:t>
      </w:r>
      <w:r w:rsidRPr="000E6C39">
        <w:t xml:space="preserve">’ excludes the addition to </w:t>
      </w:r>
      <w:r>
        <w:t>seed butters and seed spreads (e.g. tahini)</w:t>
      </w:r>
    </w:p>
    <w:p w14:paraId="553C5265" w14:textId="77777777" w:rsidR="008461F5" w:rsidRDefault="008461F5" w:rsidP="008461F5">
      <w:pPr>
        <w:pStyle w:val="FSBullet1"/>
        <w:spacing w:after="60"/>
        <w:ind w:left="499" w:hanging="357"/>
      </w:pPr>
      <w:r>
        <w:t>t</w:t>
      </w:r>
      <w:r w:rsidRPr="000E6C39">
        <w:t>he request for addition of rosemary extract to ‘</w:t>
      </w:r>
      <w:r>
        <w:rPr>
          <w:i/>
        </w:rPr>
        <w:t>Grain bars, breakfast bars, breakfast cereals</w:t>
      </w:r>
      <w:r>
        <w:t>’ in</w:t>
      </w:r>
      <w:r w:rsidRPr="000E6C39">
        <w:t xml:space="preserve">cludes </w:t>
      </w:r>
      <w:r>
        <w:t>mueslis, cereals with dried fruit and/or nuts as ingredients, muesli bars and breakfast bars and nut snack bars</w:t>
      </w:r>
    </w:p>
    <w:p w14:paraId="0631D2AC" w14:textId="77777777" w:rsidR="008461F5" w:rsidRDefault="008461F5" w:rsidP="008461F5">
      <w:pPr>
        <w:pStyle w:val="FSBullet1"/>
        <w:spacing w:after="60"/>
        <w:ind w:left="499" w:hanging="357"/>
      </w:pPr>
      <w:r>
        <w:t>t</w:t>
      </w:r>
      <w:r w:rsidRPr="000E6C39">
        <w:t>he request for addition of rosemary extract to ‘</w:t>
      </w:r>
      <w:r w:rsidRPr="007E2C6A">
        <w:rPr>
          <w:i/>
        </w:rPr>
        <w:t>Grain bars, breakfast bars, breakfast cereals</w:t>
      </w:r>
      <w:r w:rsidRPr="000E6C39">
        <w:t xml:space="preserve">’ </w:t>
      </w:r>
      <w:r>
        <w:t>refers to the dry form of the breakfast cereal only, irrespective of whether it is meant to be cooked with liquid or not (i.e. flavoured porridges mixes etc.)</w:t>
      </w:r>
    </w:p>
    <w:p w14:paraId="406BCC21" w14:textId="77777777" w:rsidR="008461F5" w:rsidRDefault="008461F5" w:rsidP="008461F5">
      <w:pPr>
        <w:pStyle w:val="FSBullet1"/>
        <w:spacing w:after="60"/>
        <w:ind w:left="499" w:hanging="357"/>
      </w:pPr>
      <w:r>
        <w:t>t</w:t>
      </w:r>
      <w:r w:rsidRPr="000E6C39">
        <w:t>he request for addition of rosemary extract to ‘</w:t>
      </w:r>
      <w:r>
        <w:rPr>
          <w:i/>
        </w:rPr>
        <w:t>Flour based snacks (e.g. pretzels, crackers)</w:t>
      </w:r>
      <w:r>
        <w:t>’ in</w:t>
      </w:r>
      <w:r w:rsidRPr="000E6C39">
        <w:t xml:space="preserve">cludes </w:t>
      </w:r>
      <w:r>
        <w:t>savoury crackers and crispbreads of all grain types, grain-based snack foods (e.g. corn chips, popcorn, extruded grain-based snacks such as Cheezels, “Grain-waves”) and pretzels</w:t>
      </w:r>
    </w:p>
    <w:p w14:paraId="0282D7F2" w14:textId="77777777" w:rsidR="008461F5" w:rsidRDefault="008461F5" w:rsidP="008461F5">
      <w:pPr>
        <w:pStyle w:val="FSBullet1"/>
        <w:spacing w:after="60"/>
        <w:ind w:left="499" w:hanging="357"/>
      </w:pPr>
      <w:r>
        <w:t>t</w:t>
      </w:r>
      <w:r w:rsidRPr="000E6C39">
        <w:t>he request for addition of rosemary extract to ‘</w:t>
      </w:r>
      <w:r>
        <w:rPr>
          <w:i/>
        </w:rPr>
        <w:t>Cookies, pancakes, waffles, sweet pastries (rolls, doughnuts, muffins)</w:t>
      </w:r>
      <w:r>
        <w:t>’ in</w:t>
      </w:r>
      <w:r w:rsidRPr="000E6C39">
        <w:t xml:space="preserve">cludes </w:t>
      </w:r>
      <w:r>
        <w:t xml:space="preserve">all sweet biscuits (excluding fruit/ nut/ chocolate/ filling/ icing/ coating components), pikelets, pancakes, waffles, crumpets, plain sweet buns (excluding fruit/ nut/ chocolate/ filling/ icing/ coating components), Danishes (including filling and toppings), sweet croissants (including filling and </w:t>
      </w:r>
      <w:r>
        <w:lastRenderedPageBreak/>
        <w:t>toppings), eclairs and profiteroles (including filling and toppings), baklava and sweet cake-style muffins and muffin bars (excluding</w:t>
      </w:r>
      <w:r w:rsidRPr="00C71B81">
        <w:t xml:space="preserve"> </w:t>
      </w:r>
      <w:r>
        <w:t>fruit/ nut/ chocolate/ filling/ icing/ coating components)</w:t>
      </w:r>
    </w:p>
    <w:p w14:paraId="70A31D1A" w14:textId="77777777" w:rsidR="008461F5" w:rsidRDefault="008461F5" w:rsidP="008461F5">
      <w:pPr>
        <w:pStyle w:val="FSBullet1"/>
        <w:spacing w:after="60"/>
        <w:ind w:left="499" w:hanging="357"/>
      </w:pPr>
      <w:r>
        <w:t>t</w:t>
      </w:r>
      <w:r w:rsidRPr="000E6C39">
        <w:t>he request for addition of rosemary extract to ‘</w:t>
      </w:r>
      <w:r>
        <w:rPr>
          <w:i/>
        </w:rPr>
        <w:t>Sauces &amp; toppings (including mayonnaise &amp; salad dressings)</w:t>
      </w:r>
      <w:r>
        <w:t>’ in</w:t>
      </w:r>
      <w:r w:rsidRPr="000E6C39">
        <w:t xml:space="preserve">cludes </w:t>
      </w:r>
      <w:r>
        <w:t>soy sauce</w:t>
      </w:r>
    </w:p>
    <w:p w14:paraId="30B4C8F5" w14:textId="3F2D13A6" w:rsidR="00492F84" w:rsidRPr="00492F84" w:rsidRDefault="008461F5" w:rsidP="00492F84">
      <w:pPr>
        <w:pStyle w:val="FSBullet1"/>
        <w:spacing w:after="60"/>
        <w:ind w:left="499" w:hanging="357"/>
      </w:pPr>
      <w:r w:rsidRPr="00EA2340">
        <w:t>the request</w:t>
      </w:r>
      <w:r>
        <w:t xml:space="preserve">ed concentrations for </w:t>
      </w:r>
      <w:r w:rsidR="0048026B">
        <w:t>carnosic acid plus carnosol</w:t>
      </w:r>
      <w:r>
        <w:t xml:space="preserve"> in</w:t>
      </w:r>
      <w:r w:rsidRPr="00EA2340">
        <w:t xml:space="preserve"> ‘</w:t>
      </w:r>
      <w:r w:rsidRPr="00492F84">
        <w:t>Sauces &amp; toppings (including mayonnaise and salad dressings)</w:t>
      </w:r>
      <w:r w:rsidRPr="00EA2340">
        <w:t xml:space="preserve">’ </w:t>
      </w:r>
      <w:r>
        <w:t>relates to the product as sold (i.e. MPL of 40 mg/kg in ready-to-eat sauces and dressings and a MPL of 40 mg/kg in dry sauce mixes etc.)</w:t>
      </w:r>
    </w:p>
    <w:p w14:paraId="70630EC1" w14:textId="77777777" w:rsidR="008461F5" w:rsidRDefault="008461F5" w:rsidP="008461F5">
      <w:pPr>
        <w:pStyle w:val="FSBullet1"/>
        <w:spacing w:after="60"/>
        <w:ind w:left="499" w:hanging="357"/>
      </w:pPr>
      <w:r>
        <w:t>t</w:t>
      </w:r>
      <w:r w:rsidRPr="000E6C39">
        <w:t>he request for addition of rosemary extract to ‘</w:t>
      </w:r>
      <w:r w:rsidRPr="00492F84">
        <w:t>Processed nuts</w:t>
      </w:r>
      <w:r>
        <w:t>’ in</w:t>
      </w:r>
      <w:r w:rsidRPr="000E6C39">
        <w:t xml:space="preserve">cludes </w:t>
      </w:r>
      <w:r>
        <w:t>salted and/or roasted and/or flavoured nuts</w:t>
      </w:r>
    </w:p>
    <w:p w14:paraId="2339FCD9" w14:textId="77777777" w:rsidR="008461F5" w:rsidRPr="00EA2340" w:rsidRDefault="008461F5" w:rsidP="008461F5">
      <w:pPr>
        <w:pStyle w:val="FSBullet1"/>
        <w:spacing w:after="60"/>
        <w:ind w:left="499" w:hanging="357"/>
      </w:pPr>
      <w:r>
        <w:t>t</w:t>
      </w:r>
      <w:r w:rsidRPr="000E6C39">
        <w:t>he request for addition of rosemary extract to ‘</w:t>
      </w:r>
      <w:r w:rsidRPr="008D1616">
        <w:rPr>
          <w:i/>
        </w:rPr>
        <w:t xml:space="preserve">Potato chips including starch based </w:t>
      </w:r>
      <w:r w:rsidRPr="00EA2340">
        <w:rPr>
          <w:i/>
        </w:rPr>
        <w:t>snacks from roots, tubers, pulses and legumes</w:t>
      </w:r>
      <w:r w:rsidRPr="00EA2340">
        <w:t>’ excludes grain-based snacks such as corn chips and extruded grain-based snacks such as Cheezels</w:t>
      </w:r>
    </w:p>
    <w:p w14:paraId="02A5D8B1" w14:textId="77777777" w:rsidR="008461F5" w:rsidRDefault="008461F5" w:rsidP="008461F5">
      <w:pPr>
        <w:pStyle w:val="FSBullet1"/>
        <w:spacing w:after="60"/>
        <w:ind w:left="499" w:hanging="357"/>
      </w:pPr>
      <w:r w:rsidRPr="00EA2340">
        <w:t>the request for addition of rosemary extract to ‘</w:t>
      </w:r>
      <w:r w:rsidRPr="00EA2340">
        <w:rPr>
          <w:i/>
        </w:rPr>
        <w:t>Dried sausages (from raw meat)</w:t>
      </w:r>
      <w:r w:rsidRPr="00EA2340">
        <w:t>’ includes fermented comminuted meats such as salamis</w:t>
      </w:r>
    </w:p>
    <w:p w14:paraId="2F76B932" w14:textId="6F728211" w:rsidR="008461F5" w:rsidRPr="00E541CB" w:rsidRDefault="008461F5" w:rsidP="008461F5">
      <w:pPr>
        <w:pStyle w:val="FSBullet1"/>
        <w:spacing w:after="60"/>
        <w:ind w:left="499" w:hanging="357"/>
      </w:pPr>
      <w:r>
        <w:t xml:space="preserve">dietary exposures to </w:t>
      </w:r>
      <w:r w:rsidR="0048026B">
        <w:t>carnosic acid plus carnosol</w:t>
      </w:r>
      <w:r>
        <w:t xml:space="preserve"> are negligible from flavouring sources</w:t>
      </w:r>
    </w:p>
    <w:p w14:paraId="78AB8429" w14:textId="713CE6A6" w:rsidR="008461F5" w:rsidRPr="00A72AB1" w:rsidRDefault="008461F5" w:rsidP="008461F5">
      <w:pPr>
        <w:pStyle w:val="FSBullet1"/>
        <w:spacing w:after="60"/>
        <w:ind w:left="499" w:hanging="357"/>
      </w:pPr>
      <w:r w:rsidRPr="00EA2340">
        <w:t>where a food was not included in the dietary</w:t>
      </w:r>
      <w:r w:rsidRPr="00A72AB1">
        <w:t xml:space="preserve"> exposure assessment, it was assumed to contain a zero concentration of </w:t>
      </w:r>
      <w:r w:rsidR="0048026B">
        <w:t>carnosic acid plus carnosol</w:t>
      </w:r>
    </w:p>
    <w:p w14:paraId="66FA174C" w14:textId="77777777" w:rsidR="008461F5" w:rsidRDefault="008461F5" w:rsidP="002C04C4">
      <w:pPr>
        <w:pStyle w:val="FSBullet1"/>
        <w:spacing w:after="60"/>
        <w:ind w:left="499" w:hanging="357"/>
      </w:pPr>
      <w:r w:rsidRPr="00A72AB1">
        <w:t>there is 100% market penetration of the use of Rosemary extract into the requested food category markets</w:t>
      </w:r>
    </w:p>
    <w:p w14:paraId="606A01B0" w14:textId="3966C9FE" w:rsidR="002C04C4" w:rsidRPr="002C04C4" w:rsidRDefault="008461F5" w:rsidP="002C04C4">
      <w:pPr>
        <w:pStyle w:val="FSBullet1"/>
        <w:spacing w:after="60"/>
        <w:ind w:left="499" w:hanging="357"/>
      </w:pPr>
      <w:r>
        <w:t>where a concentration is assigned to a food, this concentration is carried over to any mixed dishes where it has been used as an ingredient to capture exposure from all sources of the food in the diet</w:t>
      </w:r>
    </w:p>
    <w:p w14:paraId="34C9A900" w14:textId="4AE68808" w:rsidR="008461F5" w:rsidRDefault="008461F5" w:rsidP="002C04C4">
      <w:pPr>
        <w:pStyle w:val="FSBullet1"/>
        <w:spacing w:after="60"/>
        <w:ind w:left="499" w:hanging="357"/>
      </w:pPr>
      <w:r w:rsidRPr="00A72AB1">
        <w:t xml:space="preserve">there is no contribution to </w:t>
      </w:r>
      <w:r w:rsidR="0048026B">
        <w:t>carnosic acid plus carnosol</w:t>
      </w:r>
      <w:r w:rsidRPr="00A72AB1">
        <w:t xml:space="preserve"> </w:t>
      </w:r>
      <w:r>
        <w:t>exposure</w:t>
      </w:r>
      <w:r w:rsidRPr="00A72AB1">
        <w:t>s through the use of complementary or other medicines.</w:t>
      </w:r>
    </w:p>
    <w:p w14:paraId="7F9D10CA" w14:textId="2837D2AE" w:rsidR="00983FFA" w:rsidRDefault="008461F5" w:rsidP="008461F5">
      <w:r w:rsidRPr="00A72AB1">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Section 6 of the </w:t>
      </w:r>
      <w:r w:rsidRPr="00A72AB1">
        <w:rPr>
          <w:i/>
        </w:rPr>
        <w:t>Principles and Practices of Dietary Exposure Assessment for Food Regulatory Purposes</w:t>
      </w:r>
      <w:r w:rsidRPr="00A72AB1">
        <w:t xml:space="preserve"> (FSANZ 2009).</w:t>
      </w:r>
    </w:p>
    <w:p w14:paraId="45089509" w14:textId="7C934488" w:rsidR="00983FFA" w:rsidRPr="00066216" w:rsidRDefault="00983FFA" w:rsidP="00DF662D">
      <w:pPr>
        <w:pStyle w:val="Heading2"/>
      </w:pPr>
      <w:bookmarkStart w:id="167" w:name="_Toc517709899"/>
      <w:bookmarkStart w:id="168" w:name="_Toc518388299"/>
      <w:bookmarkStart w:id="169" w:name="_Toc526498388"/>
      <w:r>
        <w:t>4.3</w:t>
      </w:r>
      <w:r>
        <w:tab/>
      </w:r>
      <w:r w:rsidRPr="00BE310C">
        <w:t>Estimated</w:t>
      </w:r>
      <w:r w:rsidRPr="00066216">
        <w:t xml:space="preserve"> </w:t>
      </w:r>
      <w:r>
        <w:t>consumer</w:t>
      </w:r>
      <w:r w:rsidRPr="00066216">
        <w:t xml:space="preserve"> dietary exposures to </w:t>
      </w:r>
      <w:r>
        <w:t>carnosic acid plus carnosol</w:t>
      </w:r>
      <w:bookmarkEnd w:id="167"/>
      <w:bookmarkEnd w:id="168"/>
      <w:bookmarkEnd w:id="169"/>
    </w:p>
    <w:p w14:paraId="754A5947" w14:textId="711494CC" w:rsidR="00983FFA" w:rsidRPr="00933C8E" w:rsidRDefault="00983FFA" w:rsidP="00983FFA">
      <w:bookmarkStart w:id="170" w:name="_Toc516668842"/>
      <w:r>
        <w:t xml:space="preserve">In this assessment, dietary exposures have been estimated for </w:t>
      </w:r>
      <w:r w:rsidRPr="00933C8E">
        <w:t>‘consumers only’ (</w:t>
      </w:r>
      <w:r>
        <w:t xml:space="preserve">i.e. </w:t>
      </w:r>
      <w:r w:rsidRPr="00933C8E">
        <w:t xml:space="preserve">consumers of foods containing </w:t>
      </w:r>
      <w:r>
        <w:t>carnosic acid plus carnosol</w:t>
      </w:r>
      <w:r w:rsidRPr="00933C8E">
        <w:t>).</w:t>
      </w:r>
      <w:r>
        <w:t xml:space="preserve"> </w:t>
      </w:r>
      <w:r w:rsidR="00492F84">
        <w:t>N</w:t>
      </w:r>
      <w:r>
        <w:t>utrition surve</w:t>
      </w:r>
      <w:r w:rsidR="002130C7">
        <w:t>y</w:t>
      </w:r>
      <w:r w:rsidRPr="00933C8E">
        <w:t xml:space="preserve"> </w:t>
      </w:r>
      <w:r>
        <w:t xml:space="preserve">respondents </w:t>
      </w:r>
      <w:r w:rsidRPr="00933C8E">
        <w:t>who had no consumption or exposure</w:t>
      </w:r>
      <w:r>
        <w:t xml:space="preserve"> to carnosic acid plus carnosol </w:t>
      </w:r>
      <w:r w:rsidR="00492F84">
        <w:t>were</w:t>
      </w:r>
      <w:r>
        <w:t xml:space="preserve"> excluded.</w:t>
      </w:r>
      <w:r w:rsidR="002130C7">
        <w:t xml:space="preserve"> T</w:t>
      </w:r>
      <w:r>
        <w:t>he proportion of the population who are consumers varies</w:t>
      </w:r>
      <w:r w:rsidR="002130C7">
        <w:t xml:space="preserve"> between the differen</w:t>
      </w:r>
      <w:r w:rsidR="00993158">
        <w:t>t</w:t>
      </w:r>
      <w:r w:rsidR="002130C7">
        <w:t xml:space="preserve"> population groups assessed and the proportion changes between different scenarios. </w:t>
      </w:r>
      <w:r w:rsidR="00492F84">
        <w:t xml:space="preserve">The factors should be considered </w:t>
      </w:r>
      <w:r>
        <w:t>when interpreting the results of the assessment.</w:t>
      </w:r>
    </w:p>
    <w:p w14:paraId="404FDEEC" w14:textId="77777777" w:rsidR="00983FFA" w:rsidRDefault="00983FFA" w:rsidP="00983FFA">
      <w:pPr>
        <w:pStyle w:val="FSCh4Div"/>
        <w:ind w:left="851" w:hanging="851"/>
      </w:pPr>
      <w:r>
        <w:t>4.3.1</w:t>
      </w:r>
      <w:r>
        <w:tab/>
      </w:r>
      <w:r w:rsidRPr="00026504">
        <w:t>Australians</w:t>
      </w:r>
      <w:r w:rsidRPr="00EF75D8">
        <w:t xml:space="preserve"> aged 2 years and above</w:t>
      </w:r>
      <w:bookmarkEnd w:id="170"/>
    </w:p>
    <w:p w14:paraId="5327CD63" w14:textId="77777777" w:rsidR="00983FFA" w:rsidRDefault="00983FFA" w:rsidP="00983FFA">
      <w:pPr>
        <w:pStyle w:val="Heading5"/>
        <w:widowControl/>
        <w:spacing w:after="120"/>
      </w:pPr>
      <w:bookmarkStart w:id="171" w:name="_Toc516843954"/>
      <w:bookmarkStart w:id="172" w:name="_Toc516844102"/>
      <w:bookmarkStart w:id="173" w:name="_Toc516844302"/>
      <w:bookmarkStart w:id="174" w:name="_Toc516844410"/>
      <w:bookmarkStart w:id="175" w:name="_Toc516844491"/>
      <w:bookmarkStart w:id="176" w:name="_Toc516843955"/>
      <w:bookmarkStart w:id="177" w:name="_Toc516844103"/>
      <w:bookmarkStart w:id="178" w:name="_Toc516844303"/>
      <w:bookmarkStart w:id="179" w:name="_Toc516844411"/>
      <w:bookmarkStart w:id="180" w:name="_Toc516844492"/>
      <w:bookmarkStart w:id="181" w:name="_Toc516843956"/>
      <w:bookmarkStart w:id="182" w:name="_Toc516844104"/>
      <w:bookmarkStart w:id="183" w:name="_Toc516844304"/>
      <w:bookmarkStart w:id="184" w:name="_Toc516844412"/>
      <w:bookmarkStart w:id="185" w:name="_Toc516844493"/>
      <w:bookmarkStart w:id="186" w:name="_Toc516843957"/>
      <w:bookmarkStart w:id="187" w:name="_Toc516844105"/>
      <w:bookmarkStart w:id="188" w:name="_Toc516844305"/>
      <w:bookmarkStart w:id="189" w:name="_Toc516844413"/>
      <w:bookmarkStart w:id="190" w:name="_Toc516844494"/>
      <w:bookmarkStart w:id="191" w:name="_Toc516843958"/>
      <w:bookmarkStart w:id="192" w:name="_Toc516844106"/>
      <w:bookmarkStart w:id="193" w:name="_Toc516844306"/>
      <w:bookmarkStart w:id="194" w:name="_Toc516844414"/>
      <w:bookmarkStart w:id="195" w:name="_Toc516844495"/>
      <w:bookmarkStart w:id="196" w:name="_Toc516843959"/>
      <w:bookmarkStart w:id="197" w:name="_Toc516844107"/>
      <w:bookmarkStart w:id="198" w:name="_Toc516844307"/>
      <w:bookmarkStart w:id="199" w:name="_Toc516844415"/>
      <w:bookmarkStart w:id="200" w:name="_Toc516844496"/>
      <w:bookmarkStart w:id="201" w:name="_Toc516843960"/>
      <w:bookmarkStart w:id="202" w:name="_Toc516844108"/>
      <w:bookmarkStart w:id="203" w:name="_Toc516844308"/>
      <w:bookmarkStart w:id="204" w:name="_Toc516844416"/>
      <w:bookmarkStart w:id="205" w:name="_Toc51684449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4.3.1.1</w:t>
      </w:r>
      <w:r>
        <w:tab/>
      </w:r>
      <w:r w:rsidRPr="00367041">
        <w:t>Naturally</w:t>
      </w:r>
      <w:r>
        <w:t>-occurring scenario</w:t>
      </w:r>
    </w:p>
    <w:p w14:paraId="38FF3E02" w14:textId="6AF82A2F" w:rsidR="00983FFA" w:rsidRDefault="00983FFA" w:rsidP="00983FFA">
      <w:r w:rsidRPr="00EF75D8">
        <w:t xml:space="preserve">The estimated mean and P90 </w:t>
      </w:r>
      <w:r>
        <w:t xml:space="preserve">consumer </w:t>
      </w:r>
      <w:r w:rsidRPr="00EF75D8">
        <w:t xml:space="preserve">dietary exposures to </w:t>
      </w:r>
      <w:r>
        <w:t>c</w:t>
      </w:r>
      <w:r w:rsidRPr="00EF75D8">
        <w:t xml:space="preserve">arnosic acid plus </w:t>
      </w:r>
      <w:r>
        <w:t>c</w:t>
      </w:r>
      <w:r w:rsidRPr="00EF75D8">
        <w:t>arnosol</w:t>
      </w:r>
      <w:r>
        <w:t xml:space="preserve"> for Australians aged 2 years and above </w:t>
      </w:r>
      <w:r w:rsidRPr="0053098C">
        <w:t xml:space="preserve">are 0.048 mg/kg bw/day and 0.081 mg/kg bw/day for the </w:t>
      </w:r>
      <w:r w:rsidRPr="0053098C">
        <w:rPr>
          <w:i/>
        </w:rPr>
        <w:t>Naturally-occurring</w:t>
      </w:r>
      <w:r w:rsidRPr="0053098C">
        <w:t xml:space="preserve"> scenario. Approximately 6% of Australians aged 2 years and above</w:t>
      </w:r>
      <w:r>
        <w:t xml:space="preserve"> are exposed to carnosic acid plus carnosol through consumption of rosemary leaves (either on their own or as a part of mixed dishes such as casseroles). </w:t>
      </w:r>
      <w:r w:rsidRPr="00AE2AD0">
        <w:t>See</w:t>
      </w:r>
      <w:r>
        <w:t xml:space="preserv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t xml:space="preserve"> </w:t>
      </w:r>
      <w:r w:rsidRPr="00AE2AD0">
        <w:t>for details.</w:t>
      </w:r>
    </w:p>
    <w:p w14:paraId="2EB3CD2C" w14:textId="77777777" w:rsidR="00052EDC" w:rsidRDefault="00052EDC" w:rsidP="008461F5">
      <w:pPr>
        <w:sectPr w:rsidR="00052EDC" w:rsidSect="00887453">
          <w:pgSz w:w="11906" w:h="16838"/>
          <w:pgMar w:top="1418" w:right="1418" w:bottom="1418" w:left="1418" w:header="709" w:footer="709" w:gutter="0"/>
          <w:cols w:space="708"/>
          <w:docGrid w:linePitch="360"/>
        </w:sectPr>
      </w:pPr>
    </w:p>
    <w:p w14:paraId="5C62F947" w14:textId="047F8645" w:rsidR="00052EDC" w:rsidRPr="00B748C3" w:rsidRDefault="00052EDC" w:rsidP="00B748C3">
      <w:pPr>
        <w:pStyle w:val="FSTableTitle"/>
        <w:spacing w:after="120"/>
        <w:rPr>
          <w:i/>
        </w:rPr>
      </w:pPr>
      <w:r w:rsidRPr="00B748C3">
        <w:rPr>
          <w:i/>
        </w:rPr>
        <w:lastRenderedPageBreak/>
        <w:t>Table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4</w:t>
      </w:r>
      <w:r w:rsidR="00BD2527" w:rsidRPr="00B748C3">
        <w:rPr>
          <w:i/>
          <w:noProof/>
        </w:rPr>
        <w:fldChar w:fldCharType="end"/>
      </w:r>
      <w:r w:rsidR="00B75459" w:rsidRPr="00B748C3">
        <w:rPr>
          <w:i/>
        </w:rPr>
        <w:t>:</w:t>
      </w:r>
      <w:r w:rsidR="00B75459" w:rsidRPr="00B748C3">
        <w:rPr>
          <w:i/>
        </w:rPr>
        <w:tab/>
      </w:r>
      <w:r w:rsidRPr="00B748C3">
        <w:rPr>
          <w:i/>
        </w:rPr>
        <w:t>Concentrations of carnosic acid plus carnosol used in the dietary exposure assessment for all scenarios</w:t>
      </w:r>
    </w:p>
    <w:tbl>
      <w:tblPr>
        <w:tblStyle w:val="Table"/>
        <w:tblW w:w="14320" w:type="dxa"/>
        <w:tblLayout w:type="fixed"/>
        <w:tblLook w:val="04A0" w:firstRow="1" w:lastRow="0" w:firstColumn="1" w:lastColumn="0" w:noHBand="0" w:noVBand="1"/>
        <w:tblDescription w:val="Table that lists the food additive classifications and descriptions, and concentrations or repsemary extract in foods, expressed as the sum of carnosic acid and carnosol, for the scenarios that were modelled."/>
      </w:tblPr>
      <w:tblGrid>
        <w:gridCol w:w="1700"/>
        <w:gridCol w:w="2128"/>
        <w:gridCol w:w="1559"/>
        <w:gridCol w:w="2411"/>
        <w:gridCol w:w="1133"/>
        <w:gridCol w:w="1134"/>
        <w:gridCol w:w="1275"/>
        <w:gridCol w:w="1134"/>
        <w:gridCol w:w="1838"/>
        <w:gridCol w:w="8"/>
      </w:tblGrid>
      <w:tr w:rsidR="00052EDC" w:rsidRPr="008461F5" w14:paraId="734BA661" w14:textId="77777777" w:rsidTr="001C480C">
        <w:trPr>
          <w:gridAfter w:val="1"/>
          <w:cnfStyle w:val="100000000000" w:firstRow="1" w:lastRow="0" w:firstColumn="0" w:lastColumn="0" w:oddVBand="0" w:evenVBand="0" w:oddHBand="0" w:evenHBand="0" w:firstRowFirstColumn="0" w:firstRowLastColumn="0" w:lastRowFirstColumn="0" w:lastRowLastColumn="0"/>
          <w:wAfter w:w="8" w:type="dxa"/>
          <w:tblHeader/>
        </w:trPr>
        <w:tc>
          <w:tcPr>
            <w:tcW w:w="1700" w:type="dxa"/>
            <w:vMerge w:val="restart"/>
            <w:shd w:val="clear" w:color="auto" w:fill="777777"/>
          </w:tcPr>
          <w:p w14:paraId="5C0208BC" w14:textId="77777777" w:rsidR="00052EDC" w:rsidRPr="008461F5" w:rsidRDefault="00052EDC" w:rsidP="00AF4A81">
            <w:pPr>
              <w:widowControl/>
              <w:spacing w:before="40" w:after="40"/>
              <w:rPr>
                <w:sz w:val="18"/>
                <w:szCs w:val="18"/>
                <w:lang w:bidi="ar-SA"/>
              </w:rPr>
            </w:pPr>
            <w:r w:rsidRPr="008461F5">
              <w:rPr>
                <w:sz w:val="18"/>
                <w:szCs w:val="18"/>
                <w:lang w:bidi="ar-SA"/>
              </w:rPr>
              <w:t xml:space="preserve">Category in </w:t>
            </w:r>
            <w:r>
              <w:rPr>
                <w:sz w:val="18"/>
                <w:szCs w:val="18"/>
                <w:lang w:bidi="ar-SA"/>
              </w:rPr>
              <w:t>a</w:t>
            </w:r>
            <w:r w:rsidRPr="008461F5">
              <w:rPr>
                <w:sz w:val="18"/>
                <w:szCs w:val="18"/>
                <w:lang w:bidi="ar-SA"/>
              </w:rPr>
              <w:t>pplication</w:t>
            </w:r>
          </w:p>
        </w:tc>
        <w:tc>
          <w:tcPr>
            <w:tcW w:w="2128" w:type="dxa"/>
            <w:vMerge w:val="restart"/>
            <w:shd w:val="clear" w:color="auto" w:fill="777777"/>
          </w:tcPr>
          <w:p w14:paraId="5515FC5F" w14:textId="0372A598" w:rsidR="00052EDC" w:rsidRPr="008461F5" w:rsidRDefault="00C25F74" w:rsidP="00AF4A81">
            <w:pPr>
              <w:widowControl/>
              <w:spacing w:before="40" w:after="40"/>
              <w:rPr>
                <w:sz w:val="18"/>
                <w:szCs w:val="18"/>
                <w:lang w:bidi="ar-SA"/>
              </w:rPr>
            </w:pPr>
            <w:r>
              <w:rPr>
                <w:sz w:val="18"/>
                <w:szCs w:val="18"/>
                <w:lang w:bidi="ar-SA"/>
              </w:rPr>
              <w:t>D</w:t>
            </w:r>
            <w:r w:rsidR="00052EDC" w:rsidRPr="008461F5">
              <w:rPr>
                <w:sz w:val="18"/>
                <w:szCs w:val="18"/>
                <w:lang w:bidi="ar-SA"/>
              </w:rPr>
              <w:t>escription</w:t>
            </w:r>
            <w:r>
              <w:rPr>
                <w:sz w:val="18"/>
                <w:szCs w:val="18"/>
                <w:lang w:bidi="ar-SA"/>
              </w:rPr>
              <w:t xml:space="preserve"> of requested food</w:t>
            </w:r>
            <w:r w:rsidR="00052EDC" w:rsidRPr="008461F5">
              <w:rPr>
                <w:sz w:val="18"/>
                <w:szCs w:val="18"/>
                <w:lang w:bidi="ar-SA"/>
              </w:rPr>
              <w:t xml:space="preserve"> in </w:t>
            </w:r>
            <w:r w:rsidR="00052EDC">
              <w:rPr>
                <w:sz w:val="18"/>
                <w:szCs w:val="18"/>
                <w:lang w:bidi="ar-SA"/>
              </w:rPr>
              <w:t>a</w:t>
            </w:r>
            <w:r w:rsidR="00052EDC" w:rsidRPr="008461F5">
              <w:rPr>
                <w:sz w:val="18"/>
                <w:szCs w:val="18"/>
                <w:lang w:bidi="ar-SA"/>
              </w:rPr>
              <w:t>pplication</w:t>
            </w:r>
          </w:p>
        </w:tc>
        <w:tc>
          <w:tcPr>
            <w:tcW w:w="1559" w:type="dxa"/>
            <w:vMerge w:val="restart"/>
            <w:shd w:val="clear" w:color="auto" w:fill="777777"/>
          </w:tcPr>
          <w:p w14:paraId="477FADD1" w14:textId="77777777" w:rsidR="00052EDC" w:rsidRPr="008461F5" w:rsidRDefault="00052EDC" w:rsidP="00AF4A81">
            <w:pPr>
              <w:widowControl/>
              <w:spacing w:before="40" w:after="40"/>
              <w:rPr>
                <w:sz w:val="18"/>
                <w:szCs w:val="18"/>
                <w:lang w:bidi="ar-SA"/>
              </w:rPr>
            </w:pPr>
            <w:r w:rsidRPr="008461F5">
              <w:rPr>
                <w:sz w:val="18"/>
                <w:szCs w:val="18"/>
                <w:lang w:bidi="ar-SA"/>
              </w:rPr>
              <w:t>Harvest food category code</w:t>
            </w:r>
          </w:p>
        </w:tc>
        <w:tc>
          <w:tcPr>
            <w:tcW w:w="2411" w:type="dxa"/>
            <w:vMerge w:val="restart"/>
            <w:shd w:val="clear" w:color="auto" w:fill="777777"/>
          </w:tcPr>
          <w:p w14:paraId="083BF496" w14:textId="77777777" w:rsidR="00052EDC" w:rsidRPr="008461F5" w:rsidRDefault="00052EDC" w:rsidP="00AF4A81">
            <w:pPr>
              <w:widowControl/>
              <w:spacing w:before="40" w:after="40"/>
              <w:rPr>
                <w:sz w:val="18"/>
                <w:szCs w:val="18"/>
                <w:lang w:bidi="ar-SA"/>
              </w:rPr>
            </w:pPr>
            <w:r w:rsidRPr="008461F5">
              <w:rPr>
                <w:sz w:val="18"/>
                <w:szCs w:val="18"/>
                <w:lang w:bidi="ar-SA"/>
              </w:rPr>
              <w:t>Food category name</w:t>
            </w:r>
          </w:p>
        </w:tc>
        <w:tc>
          <w:tcPr>
            <w:tcW w:w="6514" w:type="dxa"/>
            <w:gridSpan w:val="5"/>
            <w:shd w:val="clear" w:color="auto" w:fill="777777"/>
          </w:tcPr>
          <w:p w14:paraId="7F22C0CE" w14:textId="77777777" w:rsidR="00052EDC" w:rsidRPr="008461F5" w:rsidRDefault="00052EDC" w:rsidP="00AF4A81">
            <w:pPr>
              <w:widowControl/>
              <w:tabs>
                <w:tab w:val="decimal" w:pos="738"/>
              </w:tabs>
              <w:spacing w:before="40" w:after="40"/>
              <w:jc w:val="center"/>
              <w:rPr>
                <w:sz w:val="18"/>
                <w:szCs w:val="18"/>
                <w:lang w:bidi="ar-SA"/>
              </w:rPr>
            </w:pPr>
            <w:r>
              <w:rPr>
                <w:sz w:val="18"/>
                <w:szCs w:val="18"/>
                <w:lang w:bidi="ar-SA"/>
              </w:rPr>
              <w:t>Carnosic acid plus c</w:t>
            </w:r>
            <w:r w:rsidRPr="008461F5">
              <w:rPr>
                <w:sz w:val="18"/>
                <w:szCs w:val="18"/>
                <w:lang w:bidi="ar-SA"/>
              </w:rPr>
              <w:t>arnosol concentration (mg/kg)</w:t>
            </w:r>
          </w:p>
        </w:tc>
      </w:tr>
      <w:tr w:rsidR="00052EDC" w:rsidRPr="008461F5" w14:paraId="358572C3" w14:textId="77777777" w:rsidTr="001C480C">
        <w:trPr>
          <w:cnfStyle w:val="100000000000" w:firstRow="1" w:lastRow="0" w:firstColumn="0" w:lastColumn="0" w:oddVBand="0" w:evenVBand="0" w:oddHBand="0" w:evenHBand="0" w:firstRowFirstColumn="0" w:firstRowLastColumn="0" w:lastRowFirstColumn="0" w:lastRowLastColumn="0"/>
          <w:tblHeader/>
        </w:trPr>
        <w:tc>
          <w:tcPr>
            <w:tcW w:w="1700" w:type="dxa"/>
            <w:vMerge/>
            <w:shd w:val="clear" w:color="auto" w:fill="777777"/>
          </w:tcPr>
          <w:p w14:paraId="383AC7B5" w14:textId="77777777" w:rsidR="00052EDC" w:rsidRPr="008461F5" w:rsidRDefault="00052EDC" w:rsidP="00AF4A81">
            <w:pPr>
              <w:widowControl/>
              <w:spacing w:before="40" w:after="40"/>
              <w:rPr>
                <w:sz w:val="18"/>
                <w:szCs w:val="18"/>
                <w:lang w:bidi="ar-SA"/>
              </w:rPr>
            </w:pPr>
          </w:p>
        </w:tc>
        <w:tc>
          <w:tcPr>
            <w:tcW w:w="2128" w:type="dxa"/>
            <w:vMerge/>
            <w:shd w:val="clear" w:color="auto" w:fill="777777"/>
          </w:tcPr>
          <w:p w14:paraId="420C36F5" w14:textId="77777777" w:rsidR="00052EDC" w:rsidRPr="008461F5" w:rsidRDefault="00052EDC" w:rsidP="00AF4A81">
            <w:pPr>
              <w:widowControl/>
              <w:spacing w:before="40" w:after="40"/>
              <w:rPr>
                <w:sz w:val="18"/>
                <w:szCs w:val="18"/>
                <w:lang w:bidi="ar-SA"/>
              </w:rPr>
            </w:pPr>
          </w:p>
        </w:tc>
        <w:tc>
          <w:tcPr>
            <w:tcW w:w="1559" w:type="dxa"/>
            <w:vMerge/>
            <w:shd w:val="clear" w:color="auto" w:fill="777777"/>
          </w:tcPr>
          <w:p w14:paraId="69A5246D" w14:textId="77777777" w:rsidR="00052EDC" w:rsidRPr="008461F5" w:rsidRDefault="00052EDC" w:rsidP="00AF4A81">
            <w:pPr>
              <w:widowControl/>
              <w:spacing w:before="40" w:after="40"/>
              <w:rPr>
                <w:sz w:val="18"/>
                <w:szCs w:val="18"/>
                <w:lang w:bidi="ar-SA"/>
              </w:rPr>
            </w:pPr>
          </w:p>
        </w:tc>
        <w:tc>
          <w:tcPr>
            <w:tcW w:w="2411" w:type="dxa"/>
            <w:vMerge/>
            <w:shd w:val="clear" w:color="auto" w:fill="777777"/>
          </w:tcPr>
          <w:p w14:paraId="7F73581D" w14:textId="77777777" w:rsidR="00052EDC" w:rsidRPr="008461F5" w:rsidRDefault="00052EDC" w:rsidP="00AF4A81">
            <w:pPr>
              <w:widowControl/>
              <w:spacing w:before="40" w:after="40"/>
              <w:rPr>
                <w:sz w:val="18"/>
                <w:szCs w:val="18"/>
                <w:lang w:bidi="ar-SA"/>
              </w:rPr>
            </w:pPr>
          </w:p>
        </w:tc>
        <w:tc>
          <w:tcPr>
            <w:tcW w:w="1133" w:type="dxa"/>
            <w:vMerge w:val="restart"/>
            <w:shd w:val="clear" w:color="auto" w:fill="777777"/>
          </w:tcPr>
          <w:p w14:paraId="07084DAB" w14:textId="77777777" w:rsidR="00052EDC" w:rsidRPr="00B75459" w:rsidRDefault="00052EDC" w:rsidP="001C480C">
            <w:pPr>
              <w:widowControl/>
              <w:tabs>
                <w:tab w:val="decimal" w:pos="738"/>
              </w:tabs>
              <w:spacing w:before="40" w:after="40"/>
              <w:ind w:left="38"/>
              <w:jc w:val="center"/>
              <w:rPr>
                <w:b w:val="0"/>
                <w:i/>
                <w:sz w:val="18"/>
                <w:szCs w:val="18"/>
                <w:lang w:bidi="ar-SA"/>
              </w:rPr>
            </w:pPr>
            <w:r w:rsidRPr="00B75459">
              <w:rPr>
                <w:i/>
                <w:sz w:val="18"/>
                <w:szCs w:val="18"/>
                <w:lang w:bidi="ar-SA"/>
              </w:rPr>
              <w:t>Naturally-occurring</w:t>
            </w:r>
          </w:p>
        </w:tc>
        <w:tc>
          <w:tcPr>
            <w:tcW w:w="2409" w:type="dxa"/>
            <w:gridSpan w:val="2"/>
            <w:shd w:val="clear" w:color="auto" w:fill="777777"/>
          </w:tcPr>
          <w:p w14:paraId="649859C8"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Rosemary extract only</w:t>
            </w:r>
          </w:p>
        </w:tc>
        <w:tc>
          <w:tcPr>
            <w:tcW w:w="2980" w:type="dxa"/>
            <w:gridSpan w:val="3"/>
            <w:shd w:val="clear" w:color="auto" w:fill="777777"/>
          </w:tcPr>
          <w:p w14:paraId="43B9447E"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Naturally-occurring plus rosemary extract</w:t>
            </w:r>
          </w:p>
        </w:tc>
      </w:tr>
      <w:tr w:rsidR="001C480C" w:rsidRPr="008461F5" w14:paraId="2665B000" w14:textId="77777777" w:rsidTr="001C480C">
        <w:trPr>
          <w:cnfStyle w:val="100000000000" w:firstRow="1" w:lastRow="0" w:firstColumn="0" w:lastColumn="0" w:oddVBand="0" w:evenVBand="0" w:oddHBand="0" w:evenHBand="0" w:firstRowFirstColumn="0" w:firstRowLastColumn="0" w:lastRowFirstColumn="0" w:lastRowLastColumn="0"/>
          <w:tblHeader/>
        </w:trPr>
        <w:tc>
          <w:tcPr>
            <w:tcW w:w="1700" w:type="dxa"/>
            <w:vMerge/>
            <w:shd w:val="clear" w:color="auto" w:fill="777777"/>
          </w:tcPr>
          <w:p w14:paraId="5B906646" w14:textId="77777777" w:rsidR="00052EDC" w:rsidRPr="008461F5" w:rsidRDefault="00052EDC" w:rsidP="00AF4A81">
            <w:pPr>
              <w:widowControl/>
              <w:spacing w:before="40" w:after="40"/>
              <w:rPr>
                <w:sz w:val="18"/>
                <w:szCs w:val="18"/>
                <w:lang w:bidi="ar-SA"/>
              </w:rPr>
            </w:pPr>
          </w:p>
        </w:tc>
        <w:tc>
          <w:tcPr>
            <w:tcW w:w="2128" w:type="dxa"/>
            <w:vMerge/>
            <w:shd w:val="clear" w:color="auto" w:fill="777777"/>
          </w:tcPr>
          <w:p w14:paraId="4DB0778D" w14:textId="77777777" w:rsidR="00052EDC" w:rsidRPr="008461F5" w:rsidRDefault="00052EDC" w:rsidP="00AF4A81">
            <w:pPr>
              <w:widowControl/>
              <w:spacing w:before="40" w:after="40"/>
              <w:rPr>
                <w:sz w:val="18"/>
                <w:szCs w:val="18"/>
                <w:lang w:bidi="ar-SA"/>
              </w:rPr>
            </w:pPr>
          </w:p>
        </w:tc>
        <w:tc>
          <w:tcPr>
            <w:tcW w:w="1559" w:type="dxa"/>
            <w:vMerge/>
            <w:shd w:val="clear" w:color="auto" w:fill="777777"/>
          </w:tcPr>
          <w:p w14:paraId="05E73A30" w14:textId="77777777" w:rsidR="00052EDC" w:rsidRPr="008461F5" w:rsidRDefault="00052EDC" w:rsidP="00AF4A81">
            <w:pPr>
              <w:widowControl/>
              <w:spacing w:before="40" w:after="40"/>
              <w:rPr>
                <w:sz w:val="18"/>
                <w:szCs w:val="18"/>
                <w:lang w:bidi="ar-SA"/>
              </w:rPr>
            </w:pPr>
          </w:p>
        </w:tc>
        <w:tc>
          <w:tcPr>
            <w:tcW w:w="2411" w:type="dxa"/>
            <w:vMerge/>
            <w:shd w:val="clear" w:color="auto" w:fill="777777"/>
          </w:tcPr>
          <w:p w14:paraId="12AFEE60" w14:textId="77777777" w:rsidR="00052EDC" w:rsidRPr="008461F5" w:rsidRDefault="00052EDC" w:rsidP="00AF4A81">
            <w:pPr>
              <w:widowControl/>
              <w:spacing w:before="40" w:after="40"/>
              <w:rPr>
                <w:sz w:val="18"/>
                <w:szCs w:val="18"/>
                <w:lang w:bidi="ar-SA"/>
              </w:rPr>
            </w:pPr>
          </w:p>
        </w:tc>
        <w:tc>
          <w:tcPr>
            <w:tcW w:w="1133" w:type="dxa"/>
            <w:vMerge/>
            <w:shd w:val="clear" w:color="auto" w:fill="777777"/>
          </w:tcPr>
          <w:p w14:paraId="02588F6D" w14:textId="77777777" w:rsidR="00052EDC" w:rsidRPr="00B75459" w:rsidRDefault="00052EDC" w:rsidP="00AF4A81">
            <w:pPr>
              <w:widowControl/>
              <w:tabs>
                <w:tab w:val="decimal" w:pos="738"/>
              </w:tabs>
              <w:spacing w:before="40" w:after="40"/>
              <w:jc w:val="center"/>
              <w:rPr>
                <w:b w:val="0"/>
                <w:i/>
                <w:sz w:val="18"/>
                <w:szCs w:val="18"/>
                <w:lang w:bidi="ar-SA"/>
              </w:rPr>
            </w:pPr>
          </w:p>
        </w:tc>
        <w:tc>
          <w:tcPr>
            <w:tcW w:w="1134" w:type="dxa"/>
            <w:shd w:val="clear" w:color="auto" w:fill="777777"/>
          </w:tcPr>
          <w:p w14:paraId="1A830511"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MPL</w:t>
            </w:r>
          </w:p>
        </w:tc>
        <w:tc>
          <w:tcPr>
            <w:tcW w:w="1275" w:type="dxa"/>
            <w:shd w:val="clear" w:color="auto" w:fill="777777"/>
          </w:tcPr>
          <w:p w14:paraId="2F66270F"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Usual use</w:t>
            </w:r>
            <w:r w:rsidRPr="00B75459">
              <w:rPr>
                <w:i/>
                <w:sz w:val="18"/>
                <w:szCs w:val="18"/>
                <w:vertAlign w:val="superscript"/>
                <w:lang w:bidi="ar-SA"/>
              </w:rPr>
              <w:sym w:font="Wingdings" w:char="F05F"/>
            </w:r>
          </w:p>
        </w:tc>
        <w:tc>
          <w:tcPr>
            <w:tcW w:w="1134" w:type="dxa"/>
            <w:shd w:val="clear" w:color="auto" w:fill="777777"/>
          </w:tcPr>
          <w:p w14:paraId="7CF538AC"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MPL</w:t>
            </w:r>
          </w:p>
        </w:tc>
        <w:tc>
          <w:tcPr>
            <w:tcW w:w="1846" w:type="dxa"/>
            <w:gridSpan w:val="2"/>
            <w:shd w:val="clear" w:color="auto" w:fill="777777"/>
          </w:tcPr>
          <w:p w14:paraId="668C1099" w14:textId="77777777" w:rsidR="00052EDC" w:rsidRPr="00B75459" w:rsidRDefault="00052EDC" w:rsidP="00AF4A81">
            <w:pPr>
              <w:widowControl/>
              <w:spacing w:before="40" w:after="40"/>
              <w:jc w:val="center"/>
              <w:rPr>
                <w:b w:val="0"/>
                <w:i/>
                <w:sz w:val="18"/>
                <w:szCs w:val="18"/>
                <w:lang w:bidi="ar-SA"/>
              </w:rPr>
            </w:pPr>
            <w:r w:rsidRPr="00B75459">
              <w:rPr>
                <w:i/>
                <w:sz w:val="18"/>
                <w:szCs w:val="18"/>
                <w:lang w:bidi="ar-SA"/>
              </w:rPr>
              <w:t>Usual use</w:t>
            </w:r>
            <w:r w:rsidRPr="00B75459">
              <w:rPr>
                <w:i/>
                <w:sz w:val="18"/>
                <w:szCs w:val="18"/>
                <w:vertAlign w:val="superscript"/>
                <w:lang w:bidi="ar-SA"/>
              </w:rPr>
              <w:sym w:font="Wingdings" w:char="F05F"/>
            </w:r>
          </w:p>
        </w:tc>
      </w:tr>
      <w:tr w:rsidR="00052EDC" w:rsidRPr="008461F5" w14:paraId="60F3F425"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261DB17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2.1</w:t>
            </w:r>
          </w:p>
        </w:tc>
        <w:tc>
          <w:tcPr>
            <w:tcW w:w="2128" w:type="dxa"/>
          </w:tcPr>
          <w:p w14:paraId="5C2ED8C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Fish &amp; algal oils</w:t>
            </w:r>
          </w:p>
        </w:tc>
        <w:tc>
          <w:tcPr>
            <w:tcW w:w="1559" w:type="dxa"/>
          </w:tcPr>
          <w:p w14:paraId="0C40533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50.1</w:t>
            </w:r>
          </w:p>
        </w:tc>
        <w:tc>
          <w:tcPr>
            <w:tcW w:w="2411" w:type="dxa"/>
          </w:tcPr>
          <w:p w14:paraId="1AC552E7"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bidi="ar-SA"/>
              </w:rPr>
              <w:t>Fish oil</w:t>
            </w:r>
          </w:p>
        </w:tc>
        <w:tc>
          <w:tcPr>
            <w:tcW w:w="1133" w:type="dxa"/>
          </w:tcPr>
          <w:p w14:paraId="1F0A2D4E" w14:textId="77777777" w:rsidR="00052EDC" w:rsidRPr="008461F5" w:rsidRDefault="00052EDC" w:rsidP="00AF4A81">
            <w:pPr>
              <w:widowControl/>
              <w:tabs>
                <w:tab w:val="decimal" w:pos="738"/>
              </w:tabs>
              <w:spacing w:before="40" w:after="40"/>
              <w:rPr>
                <w:sz w:val="18"/>
                <w:szCs w:val="18"/>
                <w:lang w:bidi="ar-SA"/>
              </w:rPr>
            </w:pPr>
            <w:r w:rsidRPr="008461F5">
              <w:rPr>
                <w:color w:val="000000"/>
                <w:sz w:val="18"/>
                <w:szCs w:val="18"/>
                <w:lang w:bidi="ar-SA"/>
              </w:rPr>
              <w:t>0</w:t>
            </w:r>
          </w:p>
        </w:tc>
        <w:tc>
          <w:tcPr>
            <w:tcW w:w="1134" w:type="dxa"/>
          </w:tcPr>
          <w:p w14:paraId="6478C474" w14:textId="77777777" w:rsidR="00052EDC" w:rsidRPr="008461F5" w:rsidRDefault="00052EDC" w:rsidP="00AF4A81">
            <w:pPr>
              <w:widowControl/>
              <w:tabs>
                <w:tab w:val="decimal" w:pos="627"/>
              </w:tabs>
              <w:spacing w:before="40" w:after="40"/>
              <w:rPr>
                <w:sz w:val="18"/>
                <w:szCs w:val="18"/>
                <w:lang w:bidi="ar-SA"/>
              </w:rPr>
            </w:pPr>
            <w:r w:rsidRPr="008461F5">
              <w:rPr>
                <w:color w:val="000000"/>
                <w:sz w:val="18"/>
                <w:szCs w:val="18"/>
                <w:lang w:bidi="ar-SA"/>
              </w:rPr>
              <w:t>50</w:t>
            </w:r>
          </w:p>
        </w:tc>
        <w:tc>
          <w:tcPr>
            <w:tcW w:w="1275" w:type="dxa"/>
          </w:tcPr>
          <w:p w14:paraId="08157C0C"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40</w:t>
            </w:r>
          </w:p>
        </w:tc>
        <w:tc>
          <w:tcPr>
            <w:tcW w:w="1134" w:type="dxa"/>
          </w:tcPr>
          <w:p w14:paraId="3B448D09"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4FE36058"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40</w:t>
            </w:r>
          </w:p>
        </w:tc>
      </w:tr>
      <w:tr w:rsidR="00052EDC" w:rsidRPr="008461F5" w14:paraId="4209D5B1"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09EA2A07"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2.2.2</w:t>
            </w:r>
          </w:p>
        </w:tc>
        <w:tc>
          <w:tcPr>
            <w:tcW w:w="2128" w:type="dxa"/>
          </w:tcPr>
          <w:p w14:paraId="775B084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Oil emulsions (&lt;80% oil) – m</w:t>
            </w:r>
            <w:r w:rsidRPr="008461F5">
              <w:rPr>
                <w:color w:val="000000"/>
                <w:sz w:val="18"/>
                <w:szCs w:val="18"/>
                <w:lang w:bidi="ar-SA"/>
              </w:rPr>
              <w:t>argarines (solid &amp; liquid only)</w:t>
            </w:r>
          </w:p>
        </w:tc>
        <w:tc>
          <w:tcPr>
            <w:tcW w:w="1559" w:type="dxa"/>
          </w:tcPr>
          <w:p w14:paraId="7A5AC09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2.2.2</w:t>
            </w:r>
          </w:p>
        </w:tc>
        <w:tc>
          <w:tcPr>
            <w:tcW w:w="2411" w:type="dxa"/>
          </w:tcPr>
          <w:p w14:paraId="069C92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Oil emulsions (&lt;80% oil), except dairy blends</w:t>
            </w:r>
          </w:p>
        </w:tc>
        <w:tc>
          <w:tcPr>
            <w:tcW w:w="1133" w:type="dxa"/>
          </w:tcPr>
          <w:p w14:paraId="3FB73E8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73E7566D" w14:textId="77777777" w:rsidR="00052EDC" w:rsidRPr="008461F5" w:rsidRDefault="00052EDC" w:rsidP="00AF4A81">
            <w:pPr>
              <w:widowControl/>
              <w:tabs>
                <w:tab w:val="decimal" w:pos="627"/>
              </w:tabs>
              <w:spacing w:before="40" w:after="40"/>
              <w:rPr>
                <w:sz w:val="18"/>
                <w:szCs w:val="18"/>
                <w:lang w:bidi="ar-SA"/>
              </w:rPr>
            </w:pPr>
            <w:r w:rsidRPr="008461F5">
              <w:rPr>
                <w:color w:val="000000"/>
                <w:sz w:val="18"/>
                <w:szCs w:val="18"/>
                <w:lang w:bidi="ar-SA"/>
              </w:rPr>
              <w:t>75</w:t>
            </w:r>
          </w:p>
        </w:tc>
        <w:tc>
          <w:tcPr>
            <w:tcW w:w="1275" w:type="dxa"/>
          </w:tcPr>
          <w:p w14:paraId="0CEB7E13"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60</w:t>
            </w:r>
          </w:p>
        </w:tc>
        <w:tc>
          <w:tcPr>
            <w:tcW w:w="1134" w:type="dxa"/>
          </w:tcPr>
          <w:p w14:paraId="415056B9"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75</w:t>
            </w:r>
          </w:p>
        </w:tc>
        <w:tc>
          <w:tcPr>
            <w:tcW w:w="1846" w:type="dxa"/>
            <w:gridSpan w:val="2"/>
          </w:tcPr>
          <w:p w14:paraId="421BDD69"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60</w:t>
            </w:r>
          </w:p>
        </w:tc>
      </w:tr>
      <w:tr w:rsidR="00052EDC" w:rsidRPr="008461F5" w14:paraId="5E19D76F"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0E57CB4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Nil</w:t>
            </w:r>
          </w:p>
        </w:tc>
        <w:tc>
          <w:tcPr>
            <w:tcW w:w="2128" w:type="dxa"/>
          </w:tcPr>
          <w:p w14:paraId="591D624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Rosemary</w:t>
            </w:r>
          </w:p>
        </w:tc>
        <w:tc>
          <w:tcPr>
            <w:tcW w:w="1559" w:type="dxa"/>
          </w:tcPr>
          <w:p w14:paraId="57509D61"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4.1.1.4.1</w:t>
            </w:r>
          </w:p>
        </w:tc>
        <w:tc>
          <w:tcPr>
            <w:tcW w:w="2411" w:type="dxa"/>
          </w:tcPr>
          <w:p w14:paraId="4AB26CAD"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Fresh rosemary</w:t>
            </w:r>
          </w:p>
        </w:tc>
        <w:tc>
          <w:tcPr>
            <w:tcW w:w="1133" w:type="dxa"/>
          </w:tcPr>
          <w:p w14:paraId="3A000BE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7,525</w:t>
            </w:r>
          </w:p>
        </w:tc>
        <w:tc>
          <w:tcPr>
            <w:tcW w:w="1134" w:type="dxa"/>
          </w:tcPr>
          <w:p w14:paraId="2ED57BB4"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0</w:t>
            </w:r>
          </w:p>
        </w:tc>
        <w:tc>
          <w:tcPr>
            <w:tcW w:w="1275" w:type="dxa"/>
          </w:tcPr>
          <w:p w14:paraId="4EF7799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0</w:t>
            </w:r>
          </w:p>
        </w:tc>
        <w:tc>
          <w:tcPr>
            <w:tcW w:w="1134" w:type="dxa"/>
          </w:tcPr>
          <w:p w14:paraId="070151F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7,525</w:t>
            </w:r>
          </w:p>
        </w:tc>
        <w:tc>
          <w:tcPr>
            <w:tcW w:w="1846" w:type="dxa"/>
            <w:gridSpan w:val="2"/>
          </w:tcPr>
          <w:p w14:paraId="58B2CAC5"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7,525</w:t>
            </w:r>
          </w:p>
        </w:tc>
      </w:tr>
      <w:tr w:rsidR="00052EDC" w:rsidRPr="008461F5" w14:paraId="770E6214"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06A9E6F" w14:textId="77777777" w:rsidR="00052EDC" w:rsidRPr="008461F5" w:rsidRDefault="00052EDC" w:rsidP="00AF4A81">
            <w:pPr>
              <w:widowControl/>
              <w:spacing w:before="40" w:after="40"/>
              <w:rPr>
                <w:color w:val="000000"/>
                <w:sz w:val="18"/>
                <w:szCs w:val="18"/>
                <w:lang w:bidi="ar-SA"/>
              </w:rPr>
            </w:pPr>
          </w:p>
        </w:tc>
        <w:tc>
          <w:tcPr>
            <w:tcW w:w="2128" w:type="dxa"/>
          </w:tcPr>
          <w:p w14:paraId="354CCB63" w14:textId="77777777" w:rsidR="00052EDC" w:rsidRPr="008461F5" w:rsidRDefault="00052EDC" w:rsidP="00AF4A81">
            <w:pPr>
              <w:widowControl/>
              <w:spacing w:before="40" w:after="40"/>
              <w:rPr>
                <w:color w:val="000000"/>
                <w:sz w:val="18"/>
                <w:szCs w:val="18"/>
                <w:lang w:bidi="ar-SA"/>
              </w:rPr>
            </w:pPr>
          </w:p>
        </w:tc>
        <w:tc>
          <w:tcPr>
            <w:tcW w:w="1559" w:type="dxa"/>
          </w:tcPr>
          <w:p w14:paraId="5E235E3E"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4.3.1.4.1</w:t>
            </w:r>
          </w:p>
        </w:tc>
        <w:tc>
          <w:tcPr>
            <w:tcW w:w="2411" w:type="dxa"/>
          </w:tcPr>
          <w:p w14:paraId="0DE36318" w14:textId="77777777" w:rsidR="00052EDC" w:rsidRPr="008461F5" w:rsidRDefault="00052EDC" w:rsidP="00AF4A81">
            <w:pPr>
              <w:widowControl/>
              <w:spacing w:before="40" w:after="40"/>
              <w:rPr>
                <w:color w:val="000000"/>
                <w:sz w:val="18"/>
                <w:szCs w:val="18"/>
                <w:highlight w:val="yellow"/>
                <w:lang w:bidi="ar-SA"/>
              </w:rPr>
            </w:pPr>
            <w:r w:rsidRPr="008461F5">
              <w:rPr>
                <w:color w:val="000000"/>
                <w:sz w:val="18"/>
                <w:szCs w:val="18"/>
                <w:lang w:eastAsia="en-AU" w:bidi="ar-SA"/>
              </w:rPr>
              <w:t>Dried rosemary</w:t>
            </w:r>
          </w:p>
        </w:tc>
        <w:tc>
          <w:tcPr>
            <w:tcW w:w="1133" w:type="dxa"/>
          </w:tcPr>
          <w:p w14:paraId="675D38C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21,500</w:t>
            </w:r>
          </w:p>
        </w:tc>
        <w:tc>
          <w:tcPr>
            <w:tcW w:w="1134" w:type="dxa"/>
          </w:tcPr>
          <w:p w14:paraId="7E5818CF"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0</w:t>
            </w:r>
          </w:p>
        </w:tc>
        <w:tc>
          <w:tcPr>
            <w:tcW w:w="1275" w:type="dxa"/>
          </w:tcPr>
          <w:p w14:paraId="14BCBA5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0</w:t>
            </w:r>
          </w:p>
        </w:tc>
        <w:tc>
          <w:tcPr>
            <w:tcW w:w="1134" w:type="dxa"/>
          </w:tcPr>
          <w:p w14:paraId="27450F8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21,500</w:t>
            </w:r>
          </w:p>
        </w:tc>
        <w:tc>
          <w:tcPr>
            <w:tcW w:w="1846" w:type="dxa"/>
            <w:gridSpan w:val="2"/>
          </w:tcPr>
          <w:p w14:paraId="1F7217F9"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21,500</w:t>
            </w:r>
          </w:p>
        </w:tc>
      </w:tr>
      <w:tr w:rsidR="00052EDC" w:rsidRPr="008461F5" w14:paraId="75386F1A"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7DD5831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4.3.4</w:t>
            </w:r>
          </w:p>
        </w:tc>
        <w:tc>
          <w:tcPr>
            <w:tcW w:w="2128" w:type="dxa"/>
          </w:tcPr>
          <w:p w14:paraId="0311E8F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Nut butters &amp; nut spreads</w:t>
            </w:r>
          </w:p>
        </w:tc>
        <w:tc>
          <w:tcPr>
            <w:tcW w:w="1559" w:type="dxa"/>
          </w:tcPr>
          <w:p w14:paraId="6121F6D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4.3.6.3</w:t>
            </w:r>
          </w:p>
        </w:tc>
        <w:tc>
          <w:tcPr>
            <w:tcW w:w="2411" w:type="dxa"/>
          </w:tcPr>
          <w:p w14:paraId="6F082E3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Nut butter</w:t>
            </w:r>
          </w:p>
        </w:tc>
        <w:tc>
          <w:tcPr>
            <w:tcW w:w="1133" w:type="dxa"/>
          </w:tcPr>
          <w:p w14:paraId="27E0D73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77ADCC9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618DEA9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C6D458D"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2711E98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98592B6"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110B25D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5.4</w:t>
            </w:r>
          </w:p>
        </w:tc>
        <w:tc>
          <w:tcPr>
            <w:tcW w:w="2128" w:type="dxa"/>
          </w:tcPr>
          <w:p w14:paraId="73B78A6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Icings &amp; frostings, glazes &amp; fillings</w:t>
            </w:r>
          </w:p>
        </w:tc>
        <w:tc>
          <w:tcPr>
            <w:tcW w:w="1559" w:type="dxa"/>
          </w:tcPr>
          <w:p w14:paraId="6346C2A7"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5.4</w:t>
            </w:r>
          </w:p>
        </w:tc>
        <w:tc>
          <w:tcPr>
            <w:tcW w:w="2411" w:type="dxa"/>
          </w:tcPr>
          <w:p w14:paraId="2CA6641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Icings &amp; frostings</w:t>
            </w:r>
          </w:p>
        </w:tc>
        <w:tc>
          <w:tcPr>
            <w:tcW w:w="1133" w:type="dxa"/>
          </w:tcPr>
          <w:p w14:paraId="065AEE59"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697688F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20</w:t>
            </w:r>
          </w:p>
        </w:tc>
        <w:tc>
          <w:tcPr>
            <w:tcW w:w="1275" w:type="dxa"/>
          </w:tcPr>
          <w:p w14:paraId="0370AA19"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10</w:t>
            </w:r>
          </w:p>
        </w:tc>
        <w:tc>
          <w:tcPr>
            <w:tcW w:w="1134" w:type="dxa"/>
          </w:tcPr>
          <w:p w14:paraId="143A3011"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20</w:t>
            </w:r>
          </w:p>
        </w:tc>
        <w:tc>
          <w:tcPr>
            <w:tcW w:w="1846" w:type="dxa"/>
            <w:gridSpan w:val="2"/>
          </w:tcPr>
          <w:p w14:paraId="1752AB62"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10</w:t>
            </w:r>
          </w:p>
        </w:tc>
      </w:tr>
      <w:tr w:rsidR="00052EDC" w:rsidRPr="008461F5" w14:paraId="20557D67"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745A2E3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w:t>
            </w:r>
          </w:p>
        </w:tc>
        <w:tc>
          <w:tcPr>
            <w:tcW w:w="2128" w:type="dxa"/>
          </w:tcPr>
          <w:p w14:paraId="42AC464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Grain bars, breakfast bars, breakfast cereals</w:t>
            </w:r>
          </w:p>
        </w:tc>
        <w:tc>
          <w:tcPr>
            <w:tcW w:w="1559" w:type="dxa"/>
          </w:tcPr>
          <w:p w14:paraId="6611F31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6.3.1</w:t>
            </w:r>
          </w:p>
        </w:tc>
        <w:tc>
          <w:tcPr>
            <w:tcW w:w="2411" w:type="dxa"/>
          </w:tcPr>
          <w:p w14:paraId="59A730D0"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Puffed &amp;/or extruded cereals</w:t>
            </w:r>
          </w:p>
        </w:tc>
        <w:tc>
          <w:tcPr>
            <w:tcW w:w="1133" w:type="dxa"/>
          </w:tcPr>
          <w:p w14:paraId="7E0880A3"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273BEEB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4140D158"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6EABFD06"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5716CA23"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AF68F50"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0AB8A659" w14:textId="77777777" w:rsidR="00052EDC" w:rsidRPr="008461F5" w:rsidRDefault="00052EDC" w:rsidP="00AF4A81">
            <w:pPr>
              <w:widowControl/>
              <w:spacing w:before="40" w:after="40"/>
              <w:rPr>
                <w:color w:val="000000"/>
                <w:sz w:val="18"/>
                <w:szCs w:val="18"/>
                <w:lang w:bidi="ar-SA"/>
              </w:rPr>
            </w:pPr>
          </w:p>
        </w:tc>
        <w:tc>
          <w:tcPr>
            <w:tcW w:w="2128" w:type="dxa"/>
          </w:tcPr>
          <w:p w14:paraId="68D25436" w14:textId="77777777" w:rsidR="00052EDC" w:rsidRPr="008461F5" w:rsidRDefault="00052EDC" w:rsidP="00AF4A81">
            <w:pPr>
              <w:widowControl/>
              <w:spacing w:before="40" w:after="40"/>
              <w:rPr>
                <w:color w:val="000000"/>
                <w:sz w:val="18"/>
                <w:szCs w:val="18"/>
                <w:lang w:bidi="ar-SA"/>
              </w:rPr>
            </w:pPr>
          </w:p>
        </w:tc>
        <w:tc>
          <w:tcPr>
            <w:tcW w:w="1559" w:type="dxa"/>
          </w:tcPr>
          <w:p w14:paraId="67F5781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6.3.2</w:t>
            </w:r>
          </w:p>
        </w:tc>
        <w:tc>
          <w:tcPr>
            <w:tcW w:w="2411" w:type="dxa"/>
          </w:tcPr>
          <w:p w14:paraId="4F0C76A6" w14:textId="77777777" w:rsidR="00052EDC" w:rsidRPr="008461F5" w:rsidRDefault="00052EDC" w:rsidP="00AF4A81">
            <w:pPr>
              <w:widowControl/>
              <w:spacing w:before="40" w:after="40"/>
              <w:rPr>
                <w:color w:val="000000"/>
                <w:sz w:val="18"/>
                <w:szCs w:val="18"/>
                <w:lang w:bidi="ar-SA"/>
              </w:rPr>
            </w:pPr>
            <w:r w:rsidRPr="008461F5">
              <w:rPr>
                <w:sz w:val="18"/>
                <w:szCs w:val="18"/>
                <w:lang w:bidi="ar-SA"/>
              </w:rPr>
              <w:t>Breakfast biscuits &amp; flakes</w:t>
            </w:r>
          </w:p>
        </w:tc>
        <w:tc>
          <w:tcPr>
            <w:tcW w:w="1133" w:type="dxa"/>
          </w:tcPr>
          <w:p w14:paraId="2C30A0E9"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6099E5FB"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0B18B823"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4E5CC40C"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57D9D614"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5561BD45"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3FE4C5EE" w14:textId="77777777" w:rsidR="00052EDC" w:rsidRPr="008461F5" w:rsidRDefault="00052EDC" w:rsidP="00AF4A81">
            <w:pPr>
              <w:widowControl/>
              <w:spacing w:before="40" w:after="40"/>
              <w:rPr>
                <w:color w:val="000000"/>
                <w:sz w:val="18"/>
                <w:szCs w:val="18"/>
                <w:lang w:bidi="ar-SA"/>
              </w:rPr>
            </w:pPr>
          </w:p>
        </w:tc>
        <w:tc>
          <w:tcPr>
            <w:tcW w:w="2128" w:type="dxa"/>
          </w:tcPr>
          <w:p w14:paraId="468A1B72" w14:textId="77777777" w:rsidR="00052EDC" w:rsidRPr="008461F5" w:rsidRDefault="00052EDC" w:rsidP="00AF4A81">
            <w:pPr>
              <w:widowControl/>
              <w:spacing w:before="40" w:after="40"/>
              <w:rPr>
                <w:color w:val="000000"/>
                <w:sz w:val="18"/>
                <w:szCs w:val="18"/>
                <w:lang w:bidi="ar-SA"/>
              </w:rPr>
            </w:pPr>
          </w:p>
        </w:tc>
        <w:tc>
          <w:tcPr>
            <w:tcW w:w="1559" w:type="dxa"/>
          </w:tcPr>
          <w:p w14:paraId="3B4BB20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6.3.3</w:t>
            </w:r>
          </w:p>
        </w:tc>
        <w:tc>
          <w:tcPr>
            <w:tcW w:w="2411" w:type="dxa"/>
          </w:tcPr>
          <w:p w14:paraId="61FA0A5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cereal &amp; meal products, other</w:t>
            </w:r>
          </w:p>
        </w:tc>
        <w:tc>
          <w:tcPr>
            <w:tcW w:w="1133" w:type="dxa"/>
          </w:tcPr>
          <w:p w14:paraId="506C7EB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6D46A9D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4AEDA79E"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A44396F"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465C136B"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09C5A99C"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1A6F242" w14:textId="77777777" w:rsidR="00052EDC" w:rsidRPr="008461F5" w:rsidRDefault="00052EDC" w:rsidP="00AF4A81">
            <w:pPr>
              <w:widowControl/>
              <w:spacing w:before="40" w:after="40"/>
              <w:rPr>
                <w:color w:val="000000"/>
                <w:sz w:val="18"/>
                <w:szCs w:val="18"/>
                <w:lang w:bidi="ar-SA"/>
              </w:rPr>
            </w:pPr>
          </w:p>
        </w:tc>
        <w:tc>
          <w:tcPr>
            <w:tcW w:w="2128" w:type="dxa"/>
          </w:tcPr>
          <w:p w14:paraId="1CA8A0ED" w14:textId="77777777" w:rsidR="00052EDC" w:rsidRPr="008461F5" w:rsidRDefault="00052EDC" w:rsidP="00AF4A81">
            <w:pPr>
              <w:widowControl/>
              <w:spacing w:before="40" w:after="40"/>
              <w:rPr>
                <w:color w:val="000000"/>
                <w:sz w:val="18"/>
                <w:szCs w:val="18"/>
                <w:lang w:bidi="ar-SA"/>
              </w:rPr>
            </w:pPr>
          </w:p>
        </w:tc>
        <w:tc>
          <w:tcPr>
            <w:tcW w:w="1559" w:type="dxa"/>
          </w:tcPr>
          <w:p w14:paraId="0C325A8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20.2.2</w:t>
            </w:r>
          </w:p>
        </w:tc>
        <w:tc>
          <w:tcPr>
            <w:tcW w:w="2411" w:type="dxa"/>
          </w:tcPr>
          <w:p w14:paraId="02C68F0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Grains, cereals &amp; cereal products</w:t>
            </w:r>
          </w:p>
        </w:tc>
        <w:tc>
          <w:tcPr>
            <w:tcW w:w="1133" w:type="dxa"/>
          </w:tcPr>
          <w:p w14:paraId="1669F808"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7A5D0161"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5D0AD91A"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0437A5D2"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65E127ED"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C8B73E5"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7F08787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6.4</w:t>
            </w:r>
          </w:p>
        </w:tc>
        <w:tc>
          <w:tcPr>
            <w:tcW w:w="2128" w:type="dxa"/>
          </w:tcPr>
          <w:p w14:paraId="030299A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Flour based snacks (e.g. pretzels, crackers)</w:t>
            </w:r>
          </w:p>
        </w:tc>
        <w:tc>
          <w:tcPr>
            <w:tcW w:w="1559" w:type="dxa"/>
          </w:tcPr>
          <w:p w14:paraId="15CD00C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7.2.1.2</w:t>
            </w:r>
          </w:p>
        </w:tc>
        <w:tc>
          <w:tcPr>
            <w:tcW w:w="2411" w:type="dxa"/>
          </w:tcPr>
          <w:p w14:paraId="74A3576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Biscuits &amp; crackers, savoury</w:t>
            </w:r>
          </w:p>
        </w:tc>
        <w:tc>
          <w:tcPr>
            <w:tcW w:w="1133" w:type="dxa"/>
          </w:tcPr>
          <w:p w14:paraId="395C6F4B"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2A2673A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10</w:t>
            </w:r>
          </w:p>
        </w:tc>
        <w:tc>
          <w:tcPr>
            <w:tcW w:w="1275" w:type="dxa"/>
          </w:tcPr>
          <w:p w14:paraId="20308F1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5</w:t>
            </w:r>
          </w:p>
        </w:tc>
        <w:tc>
          <w:tcPr>
            <w:tcW w:w="1134" w:type="dxa"/>
          </w:tcPr>
          <w:p w14:paraId="01EF0828"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10</w:t>
            </w:r>
          </w:p>
        </w:tc>
        <w:tc>
          <w:tcPr>
            <w:tcW w:w="1846" w:type="dxa"/>
            <w:gridSpan w:val="2"/>
          </w:tcPr>
          <w:p w14:paraId="4A1897FC"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5</w:t>
            </w:r>
          </w:p>
        </w:tc>
      </w:tr>
      <w:tr w:rsidR="00052EDC" w:rsidRPr="008461F5" w14:paraId="508A4944"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7CE9DE65" w14:textId="77777777" w:rsidR="00052EDC" w:rsidRPr="008461F5" w:rsidRDefault="00052EDC" w:rsidP="00AF4A81">
            <w:pPr>
              <w:widowControl/>
              <w:spacing w:before="40" w:after="40"/>
              <w:rPr>
                <w:color w:val="000000"/>
                <w:sz w:val="18"/>
                <w:szCs w:val="18"/>
                <w:lang w:bidi="ar-SA"/>
              </w:rPr>
            </w:pPr>
          </w:p>
        </w:tc>
        <w:tc>
          <w:tcPr>
            <w:tcW w:w="2128" w:type="dxa"/>
          </w:tcPr>
          <w:p w14:paraId="3305D076" w14:textId="77777777" w:rsidR="00052EDC" w:rsidRPr="008461F5" w:rsidRDefault="00052EDC" w:rsidP="00AF4A81">
            <w:pPr>
              <w:widowControl/>
              <w:spacing w:before="40" w:after="40"/>
              <w:rPr>
                <w:color w:val="000000"/>
                <w:sz w:val="18"/>
                <w:szCs w:val="18"/>
                <w:lang w:bidi="ar-SA"/>
              </w:rPr>
            </w:pPr>
          </w:p>
        </w:tc>
        <w:tc>
          <w:tcPr>
            <w:tcW w:w="1559" w:type="dxa"/>
          </w:tcPr>
          <w:p w14:paraId="011B1DC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20.2.4.2.2.2</w:t>
            </w:r>
          </w:p>
        </w:tc>
        <w:tc>
          <w:tcPr>
            <w:tcW w:w="2411" w:type="dxa"/>
          </w:tcPr>
          <w:p w14:paraId="085320A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Grain based snacks</w:t>
            </w:r>
          </w:p>
        </w:tc>
        <w:tc>
          <w:tcPr>
            <w:tcW w:w="1133" w:type="dxa"/>
          </w:tcPr>
          <w:p w14:paraId="7817B48D"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4076786D"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10</w:t>
            </w:r>
          </w:p>
        </w:tc>
        <w:tc>
          <w:tcPr>
            <w:tcW w:w="1275" w:type="dxa"/>
          </w:tcPr>
          <w:p w14:paraId="1BF6BEBF"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5</w:t>
            </w:r>
          </w:p>
        </w:tc>
        <w:tc>
          <w:tcPr>
            <w:tcW w:w="1134" w:type="dxa"/>
          </w:tcPr>
          <w:p w14:paraId="6400745C"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10</w:t>
            </w:r>
            <w:r w:rsidRPr="008461F5">
              <w:rPr>
                <w:color w:val="000000"/>
                <w:sz w:val="18"/>
                <w:szCs w:val="18"/>
                <w:lang w:bidi="ar-SA"/>
              </w:rPr>
              <w:fldChar w:fldCharType="begin" w:fldLock="1"/>
            </w:r>
            <w:r w:rsidRPr="008461F5">
              <w:rPr>
                <w:color w:val="000000"/>
                <w:sz w:val="18"/>
                <w:szCs w:val="18"/>
                <w:lang w:bidi="ar-SA"/>
              </w:rPr>
              <w:instrText xml:space="preserve"> DOCPROPERTY bjHeaderBothDocProperty \* MERGEFORMAT </w:instrText>
            </w:r>
            <w:r w:rsidRPr="008461F5">
              <w:rPr>
                <w:color w:val="000000"/>
                <w:sz w:val="18"/>
                <w:szCs w:val="18"/>
                <w:lang w:bidi="ar-SA"/>
              </w:rPr>
              <w:fldChar w:fldCharType="end"/>
            </w:r>
          </w:p>
        </w:tc>
        <w:tc>
          <w:tcPr>
            <w:tcW w:w="1846" w:type="dxa"/>
            <w:gridSpan w:val="2"/>
          </w:tcPr>
          <w:p w14:paraId="007CD880"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5</w:t>
            </w:r>
          </w:p>
        </w:tc>
      </w:tr>
      <w:tr w:rsidR="00052EDC" w:rsidRPr="008461F5" w14:paraId="37E7956E"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64299A55"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lastRenderedPageBreak/>
              <w:t>7.2</w:t>
            </w:r>
          </w:p>
        </w:tc>
        <w:tc>
          <w:tcPr>
            <w:tcW w:w="2128" w:type="dxa"/>
          </w:tcPr>
          <w:p w14:paraId="2B129203"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Cookies, pancakes, waffles, sweet pastries (rolls, doughnuts, muffins)</w:t>
            </w:r>
          </w:p>
        </w:tc>
        <w:tc>
          <w:tcPr>
            <w:tcW w:w="1559" w:type="dxa"/>
          </w:tcPr>
          <w:p w14:paraId="02783C7C"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6.4.3.1</w:t>
            </w:r>
          </w:p>
        </w:tc>
        <w:tc>
          <w:tcPr>
            <w:tcW w:w="2411" w:type="dxa"/>
          </w:tcPr>
          <w:p w14:paraId="59B507C9"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eastAsia="en-AU" w:bidi="ar-SA"/>
              </w:rPr>
              <w:t>Flour products, batter based products</w:t>
            </w:r>
          </w:p>
        </w:tc>
        <w:tc>
          <w:tcPr>
            <w:tcW w:w="1133" w:type="dxa"/>
          </w:tcPr>
          <w:p w14:paraId="10F88058"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28605DAD"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40</w:t>
            </w:r>
          </w:p>
        </w:tc>
        <w:tc>
          <w:tcPr>
            <w:tcW w:w="1275" w:type="dxa"/>
          </w:tcPr>
          <w:p w14:paraId="13F6880C"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73CDF1CC"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3EC21D37"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7C7EBE08"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4A5C7D9E"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594BFC60"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531DD0E1"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7.2.1.1</w:t>
            </w:r>
          </w:p>
        </w:tc>
        <w:tc>
          <w:tcPr>
            <w:tcW w:w="2411" w:type="dxa"/>
          </w:tcPr>
          <w:p w14:paraId="39E3380E"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eastAsia="en-AU" w:bidi="ar-SA"/>
              </w:rPr>
              <w:t>Biscuits &amp; crackers, sweet</w:t>
            </w:r>
          </w:p>
        </w:tc>
        <w:tc>
          <w:tcPr>
            <w:tcW w:w="1133" w:type="dxa"/>
          </w:tcPr>
          <w:p w14:paraId="5CEA55A3"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24E44547"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40</w:t>
            </w:r>
          </w:p>
        </w:tc>
        <w:tc>
          <w:tcPr>
            <w:tcW w:w="1275" w:type="dxa"/>
          </w:tcPr>
          <w:p w14:paraId="64428052"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6641A739"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7FB922F3"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8236E2E"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254D3F8E"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1F8BEDCD"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562E8253"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7.1.1.1.2</w:t>
            </w:r>
          </w:p>
        </w:tc>
        <w:tc>
          <w:tcPr>
            <w:tcW w:w="2411" w:type="dxa"/>
          </w:tcPr>
          <w:p w14:paraId="514A947A"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eastAsia="en-AU" w:bidi="ar-SA"/>
              </w:rPr>
              <w:t>Bread &amp; related products, wheat, white, yeast, sweet</w:t>
            </w:r>
          </w:p>
        </w:tc>
        <w:tc>
          <w:tcPr>
            <w:tcW w:w="1133" w:type="dxa"/>
          </w:tcPr>
          <w:p w14:paraId="352EDC7F"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61CDB53F"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40</w:t>
            </w:r>
          </w:p>
        </w:tc>
        <w:tc>
          <w:tcPr>
            <w:tcW w:w="1275" w:type="dxa"/>
          </w:tcPr>
          <w:p w14:paraId="2BAF2C2C"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7A3E583E"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44CC2E92"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13FDF61B"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3246BE11"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5EF66678"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2DC5F0B2"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7.2.2.1.0.1</w:t>
            </w:r>
          </w:p>
        </w:tc>
        <w:tc>
          <w:tcPr>
            <w:tcW w:w="2411" w:type="dxa"/>
          </w:tcPr>
          <w:p w14:paraId="1DAFB41C" w14:textId="77777777" w:rsidR="00052EDC" w:rsidRPr="008461F5" w:rsidRDefault="00052EDC" w:rsidP="00E372D2">
            <w:pPr>
              <w:keepNext/>
              <w:keepLines/>
              <w:widowControl/>
              <w:spacing w:before="40" w:after="40"/>
              <w:rPr>
                <w:color w:val="000000"/>
                <w:sz w:val="18"/>
                <w:szCs w:val="18"/>
                <w:highlight w:val="yellow"/>
                <w:lang w:bidi="ar-SA"/>
              </w:rPr>
            </w:pPr>
            <w:r w:rsidRPr="008461F5">
              <w:rPr>
                <w:color w:val="000000"/>
                <w:sz w:val="18"/>
                <w:szCs w:val="18"/>
                <w:lang w:eastAsia="en-AU" w:bidi="ar-SA"/>
              </w:rPr>
              <w:t>Muffins only</w:t>
            </w:r>
          </w:p>
        </w:tc>
        <w:tc>
          <w:tcPr>
            <w:tcW w:w="1133" w:type="dxa"/>
          </w:tcPr>
          <w:p w14:paraId="789D48AC"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44F9D8A8"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40</w:t>
            </w:r>
          </w:p>
        </w:tc>
        <w:tc>
          <w:tcPr>
            <w:tcW w:w="1275" w:type="dxa"/>
          </w:tcPr>
          <w:p w14:paraId="3FF98DB5"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63BE2913"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113AB351"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72236660"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10D72ED2"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2A2BECEE"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722D3A9A"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20.2.3.1.0.1</w:t>
            </w:r>
          </w:p>
        </w:tc>
        <w:tc>
          <w:tcPr>
            <w:tcW w:w="2411" w:type="dxa"/>
          </w:tcPr>
          <w:p w14:paraId="4C2E2579" w14:textId="77777777" w:rsidR="00052EDC" w:rsidRPr="008461F5" w:rsidRDefault="00052EDC" w:rsidP="00E372D2">
            <w:pPr>
              <w:keepNext/>
              <w:keepLines/>
              <w:widowControl/>
              <w:spacing w:before="40" w:after="40"/>
              <w:rPr>
                <w:color w:val="000000"/>
                <w:sz w:val="18"/>
                <w:szCs w:val="18"/>
                <w:highlight w:val="yellow"/>
                <w:lang w:bidi="ar-SA"/>
              </w:rPr>
            </w:pPr>
            <w:r w:rsidRPr="008461F5">
              <w:rPr>
                <w:color w:val="000000"/>
                <w:sz w:val="18"/>
                <w:szCs w:val="18"/>
                <w:lang w:bidi="ar-SA"/>
              </w:rPr>
              <w:t>Sweet pastries</w:t>
            </w:r>
          </w:p>
        </w:tc>
        <w:tc>
          <w:tcPr>
            <w:tcW w:w="1133" w:type="dxa"/>
          </w:tcPr>
          <w:p w14:paraId="216072CB"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0C209570"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40</w:t>
            </w:r>
          </w:p>
        </w:tc>
        <w:tc>
          <w:tcPr>
            <w:tcW w:w="1275" w:type="dxa"/>
          </w:tcPr>
          <w:p w14:paraId="5911AC4C"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160BCBCF"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5D9682C3"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D0CBBE7"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531B748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w:t>
            </w:r>
          </w:p>
        </w:tc>
        <w:tc>
          <w:tcPr>
            <w:tcW w:w="2128" w:type="dxa"/>
          </w:tcPr>
          <w:p w14:paraId="5F52181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meat, poultry &amp; game in whole cuts or pieces –fat content ≤10% fat</w:t>
            </w:r>
          </w:p>
        </w:tc>
        <w:tc>
          <w:tcPr>
            <w:tcW w:w="1559" w:type="dxa"/>
          </w:tcPr>
          <w:p w14:paraId="6B72006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8.2.0.1</w:t>
            </w:r>
          </w:p>
        </w:tc>
        <w:tc>
          <w:tcPr>
            <w:tcW w:w="2411" w:type="dxa"/>
          </w:tcPr>
          <w:p w14:paraId="0F86E43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Processed meat, poultry, game products in whole cuts or pieces, lower fat</w:t>
            </w:r>
          </w:p>
        </w:tc>
        <w:tc>
          <w:tcPr>
            <w:tcW w:w="1133" w:type="dxa"/>
          </w:tcPr>
          <w:p w14:paraId="44EDAF47"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6D6A1174" w14:textId="4450B059" w:rsidR="00052EDC" w:rsidRPr="008461F5" w:rsidRDefault="00E372D2" w:rsidP="00AF4A81">
            <w:pPr>
              <w:widowControl/>
              <w:tabs>
                <w:tab w:val="decimal" w:pos="627"/>
              </w:tabs>
              <w:spacing w:before="40" w:after="40"/>
              <w:rPr>
                <w:sz w:val="18"/>
                <w:szCs w:val="18"/>
                <w:lang w:bidi="ar-SA"/>
              </w:rPr>
            </w:pPr>
            <w:r>
              <w:rPr>
                <w:sz w:val="18"/>
                <w:szCs w:val="18"/>
                <w:lang w:bidi="ar-SA"/>
              </w:rPr>
              <w:t>1</w:t>
            </w:r>
            <w:r w:rsidR="00052EDC" w:rsidRPr="008461F5">
              <w:rPr>
                <w:sz w:val="18"/>
                <w:szCs w:val="18"/>
                <w:lang w:bidi="ar-SA"/>
              </w:rPr>
              <w:t>5</w:t>
            </w:r>
          </w:p>
        </w:tc>
        <w:tc>
          <w:tcPr>
            <w:tcW w:w="1275" w:type="dxa"/>
          </w:tcPr>
          <w:p w14:paraId="192C871B" w14:textId="406229A9"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7</w:t>
            </w:r>
            <w:r w:rsidR="00E372D2">
              <w:rPr>
                <w:sz w:val="18"/>
                <w:szCs w:val="18"/>
                <w:lang w:bidi="ar-SA"/>
              </w:rPr>
              <w:t>.</w:t>
            </w:r>
            <w:r w:rsidRPr="008461F5">
              <w:rPr>
                <w:sz w:val="18"/>
                <w:szCs w:val="18"/>
                <w:lang w:bidi="ar-SA"/>
              </w:rPr>
              <w:t>5</w:t>
            </w:r>
          </w:p>
        </w:tc>
        <w:tc>
          <w:tcPr>
            <w:tcW w:w="1134" w:type="dxa"/>
          </w:tcPr>
          <w:p w14:paraId="5C47C2F1" w14:textId="2FC2C7BD" w:rsidR="00052EDC" w:rsidRPr="008461F5" w:rsidRDefault="00E372D2" w:rsidP="00AF4A81">
            <w:pPr>
              <w:widowControl/>
              <w:tabs>
                <w:tab w:val="decimal" w:pos="799"/>
              </w:tabs>
              <w:spacing w:before="40" w:after="40"/>
              <w:rPr>
                <w:color w:val="000000"/>
                <w:sz w:val="18"/>
                <w:szCs w:val="18"/>
                <w:lang w:bidi="ar-SA"/>
              </w:rPr>
            </w:pPr>
            <w:r>
              <w:rPr>
                <w:color w:val="000000"/>
                <w:sz w:val="18"/>
                <w:szCs w:val="18"/>
                <w:lang w:bidi="ar-SA"/>
              </w:rPr>
              <w:t>1</w:t>
            </w:r>
            <w:r w:rsidR="00052EDC" w:rsidRPr="008461F5">
              <w:rPr>
                <w:color w:val="000000"/>
                <w:sz w:val="18"/>
                <w:szCs w:val="18"/>
                <w:lang w:bidi="ar-SA"/>
              </w:rPr>
              <w:t>5</w:t>
            </w:r>
          </w:p>
        </w:tc>
        <w:tc>
          <w:tcPr>
            <w:tcW w:w="1846" w:type="dxa"/>
            <w:gridSpan w:val="2"/>
          </w:tcPr>
          <w:p w14:paraId="480E70DD" w14:textId="5772B8FB" w:rsidR="00052EDC" w:rsidRPr="008461F5" w:rsidRDefault="00052EDC" w:rsidP="00E372D2">
            <w:pPr>
              <w:widowControl/>
              <w:tabs>
                <w:tab w:val="decimal" w:pos="799"/>
              </w:tabs>
              <w:spacing w:before="40" w:after="40"/>
              <w:rPr>
                <w:color w:val="000000"/>
                <w:sz w:val="18"/>
                <w:szCs w:val="18"/>
                <w:lang w:bidi="ar-SA"/>
              </w:rPr>
            </w:pPr>
            <w:r w:rsidRPr="008461F5">
              <w:rPr>
                <w:sz w:val="18"/>
                <w:szCs w:val="18"/>
                <w:lang w:bidi="ar-SA"/>
              </w:rPr>
              <w:t>7</w:t>
            </w:r>
            <w:r w:rsidR="00E372D2">
              <w:rPr>
                <w:sz w:val="18"/>
                <w:szCs w:val="18"/>
                <w:lang w:bidi="ar-SA"/>
              </w:rPr>
              <w:t>.</w:t>
            </w:r>
            <w:r w:rsidRPr="008461F5">
              <w:rPr>
                <w:sz w:val="18"/>
                <w:szCs w:val="18"/>
                <w:lang w:bidi="ar-SA"/>
              </w:rPr>
              <w:t>5</w:t>
            </w:r>
          </w:p>
        </w:tc>
      </w:tr>
      <w:tr w:rsidR="00052EDC" w:rsidRPr="008461F5" w14:paraId="47A508F6"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1C91832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w:t>
            </w:r>
          </w:p>
        </w:tc>
        <w:tc>
          <w:tcPr>
            <w:tcW w:w="2128" w:type="dxa"/>
          </w:tcPr>
          <w:p w14:paraId="15616149"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meat, poultry &amp; game in whole cuts or pieces –fat content &gt;10% fat</w:t>
            </w:r>
          </w:p>
        </w:tc>
        <w:tc>
          <w:tcPr>
            <w:tcW w:w="1559" w:type="dxa"/>
          </w:tcPr>
          <w:p w14:paraId="53DDF97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8.2.0.2</w:t>
            </w:r>
          </w:p>
        </w:tc>
        <w:tc>
          <w:tcPr>
            <w:tcW w:w="2411" w:type="dxa"/>
          </w:tcPr>
          <w:p w14:paraId="05B95E0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Processed meat, poultry, game products in whole cuts or pieces, higher fat</w:t>
            </w:r>
          </w:p>
        </w:tc>
        <w:tc>
          <w:tcPr>
            <w:tcW w:w="1133" w:type="dxa"/>
          </w:tcPr>
          <w:p w14:paraId="3358BA56"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6DF14AE2"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37.5</w:t>
            </w:r>
          </w:p>
        </w:tc>
        <w:tc>
          <w:tcPr>
            <w:tcW w:w="1275" w:type="dxa"/>
          </w:tcPr>
          <w:p w14:paraId="5CD2B18B"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18.75</w:t>
            </w:r>
          </w:p>
        </w:tc>
        <w:tc>
          <w:tcPr>
            <w:tcW w:w="1134" w:type="dxa"/>
          </w:tcPr>
          <w:p w14:paraId="19F1FBA3"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37.5</w:t>
            </w:r>
          </w:p>
        </w:tc>
        <w:tc>
          <w:tcPr>
            <w:tcW w:w="1846" w:type="dxa"/>
            <w:gridSpan w:val="2"/>
          </w:tcPr>
          <w:p w14:paraId="734F6365"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18.75</w:t>
            </w:r>
          </w:p>
        </w:tc>
      </w:tr>
      <w:tr w:rsidR="00052EDC" w:rsidRPr="008461F5" w14:paraId="0D834202"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155952B"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8.2.3</w:t>
            </w:r>
          </w:p>
        </w:tc>
        <w:tc>
          <w:tcPr>
            <w:tcW w:w="2128" w:type="dxa"/>
          </w:tcPr>
          <w:p w14:paraId="6B485741"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Dried meat</w:t>
            </w:r>
          </w:p>
        </w:tc>
        <w:tc>
          <w:tcPr>
            <w:tcW w:w="1559" w:type="dxa"/>
          </w:tcPr>
          <w:p w14:paraId="5148412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8.2.3</w:t>
            </w:r>
          </w:p>
        </w:tc>
        <w:tc>
          <w:tcPr>
            <w:tcW w:w="2411" w:type="dxa"/>
          </w:tcPr>
          <w:p w14:paraId="5BF7C48A"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Dried meat</w:t>
            </w:r>
          </w:p>
        </w:tc>
        <w:tc>
          <w:tcPr>
            <w:tcW w:w="1133" w:type="dxa"/>
          </w:tcPr>
          <w:p w14:paraId="4B3BC064"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4E50A980" w14:textId="1348131A" w:rsidR="00052EDC" w:rsidRPr="008461F5" w:rsidRDefault="00E372D2" w:rsidP="00E372D2">
            <w:pPr>
              <w:widowControl/>
              <w:tabs>
                <w:tab w:val="decimal" w:pos="627"/>
              </w:tabs>
              <w:spacing w:before="40" w:after="40"/>
              <w:rPr>
                <w:sz w:val="18"/>
                <w:szCs w:val="18"/>
                <w:lang w:bidi="ar-SA"/>
              </w:rPr>
            </w:pPr>
            <w:r>
              <w:rPr>
                <w:sz w:val="18"/>
                <w:szCs w:val="18"/>
                <w:lang w:bidi="ar-SA"/>
              </w:rPr>
              <w:t>1</w:t>
            </w:r>
            <w:r w:rsidR="00052EDC" w:rsidRPr="008461F5">
              <w:rPr>
                <w:sz w:val="18"/>
                <w:szCs w:val="18"/>
                <w:lang w:bidi="ar-SA"/>
              </w:rPr>
              <w:t>5</w:t>
            </w:r>
            <w:r>
              <w:rPr>
                <w:sz w:val="18"/>
                <w:szCs w:val="18"/>
                <w:lang w:bidi="ar-SA"/>
              </w:rPr>
              <w:t>0</w:t>
            </w:r>
          </w:p>
        </w:tc>
        <w:tc>
          <w:tcPr>
            <w:tcW w:w="1275" w:type="dxa"/>
          </w:tcPr>
          <w:p w14:paraId="07835FEE" w14:textId="48880694" w:rsidR="00052EDC" w:rsidRPr="008461F5" w:rsidRDefault="00052EDC" w:rsidP="00E372D2">
            <w:pPr>
              <w:widowControl/>
              <w:tabs>
                <w:tab w:val="decimal" w:pos="559"/>
              </w:tabs>
              <w:spacing w:before="40" w:after="40"/>
              <w:rPr>
                <w:color w:val="000000"/>
                <w:sz w:val="18"/>
                <w:szCs w:val="18"/>
                <w:lang w:bidi="ar-SA"/>
              </w:rPr>
            </w:pPr>
            <w:r w:rsidRPr="008461F5">
              <w:rPr>
                <w:sz w:val="18"/>
                <w:szCs w:val="18"/>
                <w:lang w:bidi="ar-SA"/>
              </w:rPr>
              <w:t>75</w:t>
            </w:r>
          </w:p>
        </w:tc>
        <w:tc>
          <w:tcPr>
            <w:tcW w:w="1134" w:type="dxa"/>
          </w:tcPr>
          <w:p w14:paraId="5603EB6D" w14:textId="2425AED2" w:rsidR="00052EDC" w:rsidRPr="008461F5" w:rsidRDefault="00E372D2" w:rsidP="00E372D2">
            <w:pPr>
              <w:widowControl/>
              <w:tabs>
                <w:tab w:val="decimal" w:pos="799"/>
              </w:tabs>
              <w:spacing w:before="40" w:after="40"/>
              <w:rPr>
                <w:color w:val="000000"/>
                <w:sz w:val="18"/>
                <w:szCs w:val="18"/>
                <w:lang w:bidi="ar-SA"/>
              </w:rPr>
            </w:pPr>
            <w:r>
              <w:rPr>
                <w:color w:val="000000"/>
                <w:sz w:val="18"/>
                <w:szCs w:val="18"/>
                <w:lang w:bidi="ar-SA"/>
              </w:rPr>
              <w:t>150</w:t>
            </w:r>
          </w:p>
        </w:tc>
        <w:tc>
          <w:tcPr>
            <w:tcW w:w="1846" w:type="dxa"/>
            <w:gridSpan w:val="2"/>
          </w:tcPr>
          <w:p w14:paraId="6F6B96C0" w14:textId="160513D6" w:rsidR="00052EDC" w:rsidRPr="008461F5" w:rsidRDefault="00052EDC" w:rsidP="00E372D2">
            <w:pPr>
              <w:widowControl/>
              <w:tabs>
                <w:tab w:val="decimal" w:pos="799"/>
              </w:tabs>
              <w:spacing w:before="40" w:after="40"/>
              <w:rPr>
                <w:color w:val="000000"/>
                <w:sz w:val="18"/>
                <w:szCs w:val="18"/>
                <w:lang w:bidi="ar-SA"/>
              </w:rPr>
            </w:pPr>
            <w:r w:rsidRPr="008461F5">
              <w:rPr>
                <w:sz w:val="18"/>
                <w:szCs w:val="18"/>
                <w:lang w:bidi="ar-SA"/>
              </w:rPr>
              <w:t>75</w:t>
            </w:r>
          </w:p>
        </w:tc>
      </w:tr>
      <w:tr w:rsidR="00052EDC" w:rsidRPr="008461F5" w14:paraId="6E7F883A"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7F87FCBF" w14:textId="77777777" w:rsidR="00052EDC" w:rsidRPr="008461F5" w:rsidRDefault="00052EDC" w:rsidP="00AF4A81">
            <w:pPr>
              <w:widowControl/>
              <w:spacing w:before="40" w:after="40"/>
              <w:rPr>
                <w:color w:val="000000"/>
                <w:sz w:val="18"/>
                <w:szCs w:val="18"/>
                <w:lang w:bidi="ar-SA"/>
              </w:rPr>
            </w:pPr>
          </w:p>
        </w:tc>
        <w:tc>
          <w:tcPr>
            <w:tcW w:w="2128" w:type="dxa"/>
          </w:tcPr>
          <w:p w14:paraId="1EF82A2B" w14:textId="77777777" w:rsidR="00052EDC" w:rsidRPr="008461F5" w:rsidRDefault="00052EDC" w:rsidP="00AF4A81">
            <w:pPr>
              <w:widowControl/>
              <w:spacing w:before="40" w:after="40"/>
              <w:rPr>
                <w:color w:val="000000"/>
                <w:sz w:val="18"/>
                <w:szCs w:val="18"/>
                <w:lang w:bidi="ar-SA"/>
              </w:rPr>
            </w:pPr>
          </w:p>
        </w:tc>
        <w:tc>
          <w:tcPr>
            <w:tcW w:w="1559" w:type="dxa"/>
          </w:tcPr>
          <w:p w14:paraId="317673F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8.2.4</w:t>
            </w:r>
          </w:p>
        </w:tc>
        <w:tc>
          <w:tcPr>
            <w:tcW w:w="2411" w:type="dxa"/>
          </w:tcPr>
          <w:p w14:paraId="284C658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Slow dried cured meat</w:t>
            </w:r>
          </w:p>
        </w:tc>
        <w:tc>
          <w:tcPr>
            <w:tcW w:w="1133" w:type="dxa"/>
          </w:tcPr>
          <w:p w14:paraId="15DF19B3"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2AE9A9F7" w14:textId="0A87D5BA" w:rsidR="00052EDC" w:rsidRPr="008461F5" w:rsidRDefault="00824245" w:rsidP="00AF4A81">
            <w:pPr>
              <w:widowControl/>
              <w:tabs>
                <w:tab w:val="decimal" w:pos="627"/>
              </w:tabs>
              <w:spacing w:before="40" w:after="40"/>
              <w:rPr>
                <w:sz w:val="18"/>
                <w:szCs w:val="18"/>
                <w:lang w:bidi="ar-SA"/>
              </w:rPr>
            </w:pPr>
            <w:r>
              <w:rPr>
                <w:sz w:val="18"/>
                <w:szCs w:val="18"/>
                <w:lang w:bidi="ar-SA"/>
              </w:rPr>
              <w:t>150</w:t>
            </w:r>
          </w:p>
        </w:tc>
        <w:tc>
          <w:tcPr>
            <w:tcW w:w="1275" w:type="dxa"/>
          </w:tcPr>
          <w:p w14:paraId="612A3C93" w14:textId="3A5770FB" w:rsidR="00052EDC" w:rsidRPr="008461F5" w:rsidRDefault="00824245" w:rsidP="00AF4A81">
            <w:pPr>
              <w:widowControl/>
              <w:tabs>
                <w:tab w:val="decimal" w:pos="559"/>
              </w:tabs>
              <w:spacing w:before="40" w:after="40"/>
              <w:rPr>
                <w:color w:val="000000"/>
                <w:sz w:val="18"/>
                <w:szCs w:val="18"/>
                <w:lang w:bidi="ar-SA"/>
              </w:rPr>
            </w:pPr>
            <w:r>
              <w:rPr>
                <w:sz w:val="18"/>
                <w:szCs w:val="18"/>
                <w:lang w:bidi="ar-SA"/>
              </w:rPr>
              <w:t>75</w:t>
            </w:r>
          </w:p>
        </w:tc>
        <w:tc>
          <w:tcPr>
            <w:tcW w:w="1134" w:type="dxa"/>
          </w:tcPr>
          <w:p w14:paraId="2C62B70F" w14:textId="5A2AA288" w:rsidR="00052EDC" w:rsidRPr="008461F5" w:rsidRDefault="00040C16" w:rsidP="00AF4A81">
            <w:pPr>
              <w:widowControl/>
              <w:tabs>
                <w:tab w:val="decimal" w:pos="799"/>
              </w:tabs>
              <w:spacing w:before="40" w:after="40"/>
              <w:rPr>
                <w:color w:val="000000"/>
                <w:sz w:val="18"/>
                <w:szCs w:val="18"/>
                <w:lang w:bidi="ar-SA"/>
              </w:rPr>
            </w:pPr>
            <w:r>
              <w:rPr>
                <w:color w:val="000000"/>
                <w:sz w:val="18"/>
                <w:szCs w:val="18"/>
                <w:lang w:bidi="ar-SA"/>
              </w:rPr>
              <w:t>150</w:t>
            </w:r>
          </w:p>
        </w:tc>
        <w:tc>
          <w:tcPr>
            <w:tcW w:w="1846" w:type="dxa"/>
            <w:gridSpan w:val="2"/>
          </w:tcPr>
          <w:p w14:paraId="62158440" w14:textId="2762A9BD" w:rsidR="00052EDC" w:rsidRPr="008461F5" w:rsidRDefault="00040C16" w:rsidP="00AF4A81">
            <w:pPr>
              <w:widowControl/>
              <w:tabs>
                <w:tab w:val="decimal" w:pos="799"/>
              </w:tabs>
              <w:spacing w:before="40" w:after="40"/>
              <w:rPr>
                <w:color w:val="000000"/>
                <w:sz w:val="18"/>
                <w:szCs w:val="18"/>
                <w:lang w:bidi="ar-SA"/>
              </w:rPr>
            </w:pPr>
            <w:r>
              <w:rPr>
                <w:sz w:val="18"/>
                <w:szCs w:val="18"/>
                <w:lang w:bidi="ar-SA"/>
              </w:rPr>
              <w:t>75</w:t>
            </w:r>
          </w:p>
        </w:tc>
      </w:tr>
      <w:tr w:rsidR="00052EDC" w:rsidRPr="008461F5" w14:paraId="403E0E28"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D9A1860"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8.3.2</w:t>
            </w:r>
          </w:p>
        </w:tc>
        <w:tc>
          <w:tcPr>
            <w:tcW w:w="2128" w:type="dxa"/>
          </w:tcPr>
          <w:p w14:paraId="0BA5E5BB"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Dried sausages (from raw meat)</w:t>
            </w:r>
          </w:p>
        </w:tc>
        <w:tc>
          <w:tcPr>
            <w:tcW w:w="1559" w:type="dxa"/>
          </w:tcPr>
          <w:p w14:paraId="766AFC04"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8.3.1</w:t>
            </w:r>
          </w:p>
        </w:tc>
        <w:tc>
          <w:tcPr>
            <w:tcW w:w="2411" w:type="dxa"/>
          </w:tcPr>
          <w:p w14:paraId="0153116E"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Fermented, uncooked, processed, comminuted meat products</w:t>
            </w:r>
          </w:p>
        </w:tc>
        <w:tc>
          <w:tcPr>
            <w:tcW w:w="1133" w:type="dxa"/>
          </w:tcPr>
          <w:p w14:paraId="6AD052B2"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5501572C" w14:textId="50DB9BBF" w:rsidR="00052EDC" w:rsidRPr="008461F5" w:rsidRDefault="00E372D2" w:rsidP="00AF4A81">
            <w:pPr>
              <w:widowControl/>
              <w:tabs>
                <w:tab w:val="decimal" w:pos="627"/>
              </w:tabs>
              <w:spacing w:before="40" w:after="40"/>
              <w:rPr>
                <w:sz w:val="18"/>
                <w:szCs w:val="18"/>
                <w:lang w:bidi="ar-SA"/>
              </w:rPr>
            </w:pPr>
            <w:r>
              <w:rPr>
                <w:sz w:val="18"/>
                <w:szCs w:val="18"/>
                <w:lang w:bidi="ar-SA"/>
              </w:rPr>
              <w:t>10</w:t>
            </w:r>
            <w:r w:rsidR="00052EDC" w:rsidRPr="008461F5">
              <w:rPr>
                <w:sz w:val="18"/>
                <w:szCs w:val="18"/>
                <w:lang w:bidi="ar-SA"/>
              </w:rPr>
              <w:t>0</w:t>
            </w:r>
          </w:p>
        </w:tc>
        <w:tc>
          <w:tcPr>
            <w:tcW w:w="1275" w:type="dxa"/>
          </w:tcPr>
          <w:p w14:paraId="2F7A1691" w14:textId="1C39937D"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5</w:t>
            </w:r>
            <w:r w:rsidR="00E372D2">
              <w:rPr>
                <w:sz w:val="18"/>
                <w:szCs w:val="18"/>
                <w:lang w:bidi="ar-SA"/>
              </w:rPr>
              <w:t>0</w:t>
            </w:r>
          </w:p>
        </w:tc>
        <w:tc>
          <w:tcPr>
            <w:tcW w:w="1134" w:type="dxa"/>
          </w:tcPr>
          <w:p w14:paraId="79C07B82" w14:textId="790EB3EA" w:rsidR="00052EDC" w:rsidRPr="008461F5" w:rsidRDefault="00E372D2" w:rsidP="00AF4A81">
            <w:pPr>
              <w:widowControl/>
              <w:tabs>
                <w:tab w:val="decimal" w:pos="799"/>
              </w:tabs>
              <w:spacing w:before="40" w:after="40"/>
              <w:rPr>
                <w:color w:val="000000"/>
                <w:sz w:val="18"/>
                <w:szCs w:val="18"/>
                <w:lang w:bidi="ar-SA"/>
              </w:rPr>
            </w:pPr>
            <w:r>
              <w:rPr>
                <w:color w:val="000000"/>
                <w:sz w:val="18"/>
                <w:szCs w:val="18"/>
                <w:lang w:bidi="ar-SA"/>
              </w:rPr>
              <w:t>10</w:t>
            </w:r>
            <w:r w:rsidR="00052EDC" w:rsidRPr="008461F5">
              <w:rPr>
                <w:color w:val="000000"/>
                <w:sz w:val="18"/>
                <w:szCs w:val="18"/>
                <w:lang w:bidi="ar-SA"/>
              </w:rPr>
              <w:t>0</w:t>
            </w:r>
          </w:p>
        </w:tc>
        <w:tc>
          <w:tcPr>
            <w:tcW w:w="1846" w:type="dxa"/>
            <w:gridSpan w:val="2"/>
          </w:tcPr>
          <w:p w14:paraId="684F2B53" w14:textId="25DA9E35"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5</w:t>
            </w:r>
            <w:r w:rsidR="00E372D2">
              <w:rPr>
                <w:sz w:val="18"/>
                <w:szCs w:val="18"/>
                <w:lang w:bidi="ar-SA"/>
              </w:rPr>
              <w:t>0</w:t>
            </w:r>
          </w:p>
        </w:tc>
      </w:tr>
      <w:tr w:rsidR="00052EDC" w:rsidRPr="008461F5" w14:paraId="59C9B844"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27B1E9CD"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12</w:t>
            </w:r>
          </w:p>
        </w:tc>
        <w:tc>
          <w:tcPr>
            <w:tcW w:w="2128" w:type="dxa"/>
          </w:tcPr>
          <w:p w14:paraId="6F632C1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Salts &amp; condiments</w:t>
            </w:r>
          </w:p>
        </w:tc>
        <w:tc>
          <w:tcPr>
            <w:tcW w:w="1559" w:type="dxa"/>
          </w:tcPr>
          <w:p w14:paraId="4A9E9D22"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12</w:t>
            </w:r>
          </w:p>
        </w:tc>
        <w:tc>
          <w:tcPr>
            <w:tcW w:w="2411" w:type="dxa"/>
          </w:tcPr>
          <w:p w14:paraId="41FEFF16"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Salts &amp; condiments</w:t>
            </w:r>
          </w:p>
        </w:tc>
        <w:tc>
          <w:tcPr>
            <w:tcW w:w="1133" w:type="dxa"/>
          </w:tcPr>
          <w:p w14:paraId="6E8CD1BF"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2B5775AA"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40</w:t>
            </w:r>
          </w:p>
        </w:tc>
        <w:tc>
          <w:tcPr>
            <w:tcW w:w="1275" w:type="dxa"/>
          </w:tcPr>
          <w:p w14:paraId="5549B62D"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20</w:t>
            </w:r>
          </w:p>
        </w:tc>
        <w:tc>
          <w:tcPr>
            <w:tcW w:w="1134" w:type="dxa"/>
          </w:tcPr>
          <w:p w14:paraId="07DEB7C4"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40</w:t>
            </w:r>
          </w:p>
        </w:tc>
        <w:tc>
          <w:tcPr>
            <w:tcW w:w="1846" w:type="dxa"/>
            <w:gridSpan w:val="2"/>
          </w:tcPr>
          <w:p w14:paraId="063C7E6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20</w:t>
            </w:r>
          </w:p>
        </w:tc>
      </w:tr>
      <w:tr w:rsidR="00052EDC" w:rsidRPr="008461F5" w14:paraId="6096F4AA"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AAEDECC"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lastRenderedPageBreak/>
              <w:t>20.2.04</w:t>
            </w:r>
          </w:p>
        </w:tc>
        <w:tc>
          <w:tcPr>
            <w:tcW w:w="2128" w:type="dxa"/>
          </w:tcPr>
          <w:p w14:paraId="11A606A3"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Sauces &amp; toppings (including mayonnaise and salad dressings)</w:t>
            </w:r>
          </w:p>
        </w:tc>
        <w:tc>
          <w:tcPr>
            <w:tcW w:w="1559" w:type="dxa"/>
          </w:tcPr>
          <w:p w14:paraId="29595C7B"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4.3.7.2</w:t>
            </w:r>
          </w:p>
        </w:tc>
        <w:tc>
          <w:tcPr>
            <w:tcW w:w="2411" w:type="dxa"/>
          </w:tcPr>
          <w:p w14:paraId="643D962D"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eastAsia="en-AU" w:bidi="ar-SA"/>
              </w:rPr>
              <w:t>Soy sauce</w:t>
            </w:r>
          </w:p>
        </w:tc>
        <w:tc>
          <w:tcPr>
            <w:tcW w:w="1133" w:type="dxa"/>
          </w:tcPr>
          <w:p w14:paraId="29B71EBB"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7122B25D"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50</w:t>
            </w:r>
          </w:p>
        </w:tc>
        <w:tc>
          <w:tcPr>
            <w:tcW w:w="1275" w:type="dxa"/>
          </w:tcPr>
          <w:p w14:paraId="5B219018"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31A1E1BB"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2A5D83D3"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059EB94"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1A3514BF"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0169A7F3"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4D5CD078"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20.2.6.1</w:t>
            </w:r>
          </w:p>
        </w:tc>
        <w:tc>
          <w:tcPr>
            <w:tcW w:w="2411" w:type="dxa"/>
          </w:tcPr>
          <w:p w14:paraId="7CB67876" w14:textId="77777777" w:rsidR="00052EDC" w:rsidRPr="008461F5" w:rsidRDefault="00052EDC" w:rsidP="00E372D2">
            <w:pPr>
              <w:keepNext/>
              <w:keepLines/>
              <w:widowControl/>
              <w:spacing w:before="40" w:after="40"/>
              <w:rPr>
                <w:color w:val="000000"/>
                <w:sz w:val="18"/>
                <w:szCs w:val="18"/>
                <w:lang w:bidi="ar-SA"/>
              </w:rPr>
            </w:pPr>
            <w:r w:rsidRPr="008461F5">
              <w:rPr>
                <w:sz w:val="18"/>
                <w:szCs w:val="18"/>
                <w:lang w:bidi="ar-SA"/>
              </w:rPr>
              <w:t>Sauces &amp; syrups, sweet</w:t>
            </w:r>
          </w:p>
        </w:tc>
        <w:tc>
          <w:tcPr>
            <w:tcW w:w="1133" w:type="dxa"/>
          </w:tcPr>
          <w:p w14:paraId="7F384F9C"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2E53008B"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50</w:t>
            </w:r>
          </w:p>
        </w:tc>
        <w:tc>
          <w:tcPr>
            <w:tcW w:w="1275" w:type="dxa"/>
          </w:tcPr>
          <w:p w14:paraId="4148AB7D"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1BE7AFD5"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2251348E"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7BA8659A"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34AF44E3"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42F2942D"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6F2B68C6"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20.2.6.2</w:t>
            </w:r>
          </w:p>
        </w:tc>
        <w:tc>
          <w:tcPr>
            <w:tcW w:w="2411" w:type="dxa"/>
          </w:tcPr>
          <w:p w14:paraId="6F5F5961" w14:textId="77777777" w:rsidR="00052EDC" w:rsidRPr="008461F5" w:rsidRDefault="00052EDC" w:rsidP="00E372D2">
            <w:pPr>
              <w:keepNext/>
              <w:keepLines/>
              <w:widowControl/>
              <w:spacing w:before="40" w:after="40"/>
              <w:rPr>
                <w:color w:val="000000"/>
                <w:sz w:val="18"/>
                <w:szCs w:val="18"/>
                <w:lang w:bidi="ar-SA"/>
              </w:rPr>
            </w:pPr>
            <w:r w:rsidRPr="008461F5">
              <w:rPr>
                <w:sz w:val="18"/>
                <w:szCs w:val="18"/>
                <w:lang w:bidi="ar-SA"/>
              </w:rPr>
              <w:t>Gravy, sauces &amp; condiments</w:t>
            </w:r>
          </w:p>
        </w:tc>
        <w:tc>
          <w:tcPr>
            <w:tcW w:w="1133" w:type="dxa"/>
          </w:tcPr>
          <w:p w14:paraId="37F4DC58"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47B5EA6B"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50</w:t>
            </w:r>
          </w:p>
        </w:tc>
        <w:tc>
          <w:tcPr>
            <w:tcW w:w="1275" w:type="dxa"/>
          </w:tcPr>
          <w:p w14:paraId="28EEEB88"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70CE8005"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3D1221D3"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0E927C04"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Pr>
          <w:p w14:paraId="064ECFDE" w14:textId="77777777" w:rsidR="00052EDC" w:rsidRPr="008461F5" w:rsidRDefault="00052EDC" w:rsidP="00E372D2">
            <w:pPr>
              <w:keepNext/>
              <w:keepLines/>
              <w:widowControl/>
              <w:spacing w:before="40" w:after="40"/>
              <w:rPr>
                <w:color w:val="000000"/>
                <w:sz w:val="18"/>
                <w:szCs w:val="18"/>
                <w:lang w:bidi="ar-SA"/>
              </w:rPr>
            </w:pPr>
          </w:p>
        </w:tc>
        <w:tc>
          <w:tcPr>
            <w:tcW w:w="2128" w:type="dxa"/>
          </w:tcPr>
          <w:p w14:paraId="18892223" w14:textId="77777777" w:rsidR="00052EDC" w:rsidRPr="008461F5" w:rsidRDefault="00052EDC" w:rsidP="00E372D2">
            <w:pPr>
              <w:keepNext/>
              <w:keepLines/>
              <w:widowControl/>
              <w:spacing w:before="40" w:after="40"/>
              <w:rPr>
                <w:color w:val="000000"/>
                <w:sz w:val="18"/>
                <w:szCs w:val="18"/>
                <w:lang w:bidi="ar-SA"/>
              </w:rPr>
            </w:pPr>
          </w:p>
        </w:tc>
        <w:tc>
          <w:tcPr>
            <w:tcW w:w="1559" w:type="dxa"/>
          </w:tcPr>
          <w:p w14:paraId="5FEF4BD0"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bidi="ar-SA"/>
              </w:rPr>
              <w:t>20.2.7</w:t>
            </w:r>
          </w:p>
        </w:tc>
        <w:tc>
          <w:tcPr>
            <w:tcW w:w="2411" w:type="dxa"/>
          </w:tcPr>
          <w:p w14:paraId="7A3C661E" w14:textId="77777777" w:rsidR="00052EDC" w:rsidRPr="008461F5" w:rsidRDefault="00052EDC" w:rsidP="00E372D2">
            <w:pPr>
              <w:keepNext/>
              <w:keepLines/>
              <w:widowControl/>
              <w:spacing w:before="40" w:after="40"/>
              <w:rPr>
                <w:color w:val="000000"/>
                <w:sz w:val="18"/>
                <w:szCs w:val="18"/>
                <w:lang w:bidi="ar-SA"/>
              </w:rPr>
            </w:pPr>
            <w:r w:rsidRPr="008461F5">
              <w:rPr>
                <w:color w:val="000000"/>
                <w:sz w:val="18"/>
                <w:szCs w:val="18"/>
                <w:lang w:eastAsia="en-AU" w:bidi="ar-SA"/>
              </w:rPr>
              <w:t>Mayonnaise &amp; salad dressings</w:t>
            </w:r>
          </w:p>
        </w:tc>
        <w:tc>
          <w:tcPr>
            <w:tcW w:w="1133" w:type="dxa"/>
          </w:tcPr>
          <w:p w14:paraId="7A267AE4" w14:textId="77777777" w:rsidR="00052EDC" w:rsidRPr="008461F5" w:rsidRDefault="00052EDC" w:rsidP="00E372D2">
            <w:pPr>
              <w:keepNext/>
              <w:keepLines/>
              <w:widowControl/>
              <w:tabs>
                <w:tab w:val="decimal" w:pos="738"/>
              </w:tabs>
              <w:spacing w:before="40" w:after="40"/>
              <w:rPr>
                <w:sz w:val="18"/>
                <w:szCs w:val="18"/>
                <w:lang w:bidi="ar-SA"/>
              </w:rPr>
            </w:pPr>
            <w:r w:rsidRPr="008461F5">
              <w:rPr>
                <w:sz w:val="18"/>
                <w:szCs w:val="18"/>
                <w:lang w:bidi="ar-SA"/>
              </w:rPr>
              <w:t>0</w:t>
            </w:r>
          </w:p>
        </w:tc>
        <w:tc>
          <w:tcPr>
            <w:tcW w:w="1134" w:type="dxa"/>
          </w:tcPr>
          <w:p w14:paraId="31456F8B" w14:textId="77777777" w:rsidR="00052EDC" w:rsidRPr="008461F5" w:rsidRDefault="00052EDC" w:rsidP="00E372D2">
            <w:pPr>
              <w:keepNext/>
              <w:keepLines/>
              <w:widowControl/>
              <w:tabs>
                <w:tab w:val="decimal" w:pos="627"/>
              </w:tabs>
              <w:spacing w:before="40" w:after="40"/>
              <w:rPr>
                <w:sz w:val="18"/>
                <w:szCs w:val="18"/>
                <w:lang w:bidi="ar-SA"/>
              </w:rPr>
            </w:pPr>
            <w:r w:rsidRPr="008461F5">
              <w:rPr>
                <w:sz w:val="18"/>
                <w:szCs w:val="18"/>
                <w:lang w:bidi="ar-SA"/>
              </w:rPr>
              <w:t>50</w:t>
            </w:r>
          </w:p>
        </w:tc>
        <w:tc>
          <w:tcPr>
            <w:tcW w:w="1275" w:type="dxa"/>
          </w:tcPr>
          <w:p w14:paraId="4FD504EE" w14:textId="77777777" w:rsidR="00052EDC" w:rsidRPr="008461F5" w:rsidRDefault="00052EDC" w:rsidP="00E372D2">
            <w:pPr>
              <w:keepNext/>
              <w:keepLines/>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3A2B0BB5"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206CF227" w14:textId="77777777" w:rsidR="00052EDC" w:rsidRPr="008461F5" w:rsidRDefault="00052EDC" w:rsidP="00E372D2">
            <w:pPr>
              <w:keepNext/>
              <w:keepLines/>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D65B809"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Pr>
          <w:p w14:paraId="24AC619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w:t>
            </w:r>
          </w:p>
        </w:tc>
        <w:tc>
          <w:tcPr>
            <w:tcW w:w="2128" w:type="dxa"/>
          </w:tcPr>
          <w:p w14:paraId="0429E52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Processed nuts</w:t>
            </w:r>
            <w:r w:rsidRPr="008461F5">
              <w:rPr>
                <w:color w:val="000000"/>
                <w:sz w:val="18"/>
                <w:szCs w:val="18"/>
                <w:lang w:bidi="ar-SA"/>
              </w:rPr>
              <w:fldChar w:fldCharType="begin" w:fldLock="1"/>
            </w:r>
            <w:r w:rsidRPr="008461F5">
              <w:rPr>
                <w:color w:val="000000"/>
                <w:sz w:val="18"/>
                <w:szCs w:val="18"/>
                <w:lang w:bidi="ar-SA"/>
              </w:rPr>
              <w:instrText xml:space="preserve"> DOCPROPERTY bjHeaderBothDocProperty \* MERGEFORMAT </w:instrText>
            </w:r>
            <w:r w:rsidRPr="008461F5">
              <w:rPr>
                <w:color w:val="000000"/>
                <w:sz w:val="18"/>
                <w:szCs w:val="18"/>
                <w:lang w:bidi="ar-SA"/>
              </w:rPr>
              <w:fldChar w:fldCharType="end"/>
            </w:r>
          </w:p>
        </w:tc>
        <w:tc>
          <w:tcPr>
            <w:tcW w:w="1559" w:type="dxa"/>
          </w:tcPr>
          <w:p w14:paraId="5648110F"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4.1.1.2.1</w:t>
            </w:r>
          </w:p>
        </w:tc>
        <w:tc>
          <w:tcPr>
            <w:tcW w:w="2411" w:type="dxa"/>
          </w:tcPr>
          <w:p w14:paraId="25C33F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Untreated fruits &amp; vegetables, nuts, salted/flavoured</w:t>
            </w:r>
          </w:p>
        </w:tc>
        <w:tc>
          <w:tcPr>
            <w:tcW w:w="1133" w:type="dxa"/>
          </w:tcPr>
          <w:p w14:paraId="4E7241CE"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Pr>
          <w:p w14:paraId="1053627E"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Pr>
          <w:p w14:paraId="69F62967"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Pr>
          <w:p w14:paraId="239F4603"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Pr>
          <w:p w14:paraId="304DA2A7"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8F7B6F5" w14:textId="77777777" w:rsidTr="001C480C">
        <w:trPr>
          <w:cnfStyle w:val="000000100000" w:firstRow="0" w:lastRow="0" w:firstColumn="0" w:lastColumn="0" w:oddVBand="0" w:evenVBand="0" w:oddHBand="1" w:evenHBand="0" w:firstRowFirstColumn="0" w:firstRowLastColumn="0" w:lastRowFirstColumn="0" w:lastRowLastColumn="0"/>
        </w:trPr>
        <w:tc>
          <w:tcPr>
            <w:tcW w:w="1700" w:type="dxa"/>
            <w:tcBorders>
              <w:bottom w:val="nil"/>
            </w:tcBorders>
          </w:tcPr>
          <w:p w14:paraId="3252032B" w14:textId="77777777" w:rsidR="00052EDC" w:rsidRPr="008461F5" w:rsidRDefault="00052EDC" w:rsidP="00AF4A81">
            <w:pPr>
              <w:widowControl/>
              <w:spacing w:before="40" w:after="40"/>
              <w:rPr>
                <w:color w:val="000000"/>
                <w:sz w:val="18"/>
                <w:szCs w:val="18"/>
                <w:lang w:bidi="ar-SA"/>
              </w:rPr>
            </w:pPr>
          </w:p>
        </w:tc>
        <w:tc>
          <w:tcPr>
            <w:tcW w:w="2128" w:type="dxa"/>
            <w:tcBorders>
              <w:bottom w:val="nil"/>
            </w:tcBorders>
          </w:tcPr>
          <w:p w14:paraId="0F50508E" w14:textId="77777777" w:rsidR="00052EDC" w:rsidRPr="008461F5" w:rsidRDefault="00052EDC" w:rsidP="00AF4A81">
            <w:pPr>
              <w:widowControl/>
              <w:spacing w:before="40" w:after="40"/>
              <w:rPr>
                <w:color w:val="000000"/>
                <w:sz w:val="18"/>
                <w:szCs w:val="18"/>
                <w:lang w:bidi="ar-SA"/>
              </w:rPr>
            </w:pPr>
          </w:p>
        </w:tc>
        <w:tc>
          <w:tcPr>
            <w:tcW w:w="1559" w:type="dxa"/>
            <w:tcBorders>
              <w:bottom w:val="nil"/>
            </w:tcBorders>
          </w:tcPr>
          <w:p w14:paraId="172F197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4.1.1.2.2</w:t>
            </w:r>
          </w:p>
        </w:tc>
        <w:tc>
          <w:tcPr>
            <w:tcW w:w="2411" w:type="dxa"/>
            <w:tcBorders>
              <w:bottom w:val="nil"/>
            </w:tcBorders>
          </w:tcPr>
          <w:p w14:paraId="04F01DA8"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Untreated fruits &amp; vegetables, nuts, roasted unsalted</w:t>
            </w:r>
          </w:p>
        </w:tc>
        <w:tc>
          <w:tcPr>
            <w:tcW w:w="1133" w:type="dxa"/>
            <w:tcBorders>
              <w:bottom w:val="nil"/>
            </w:tcBorders>
          </w:tcPr>
          <w:p w14:paraId="0AAE7772"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Borders>
              <w:bottom w:val="nil"/>
            </w:tcBorders>
          </w:tcPr>
          <w:p w14:paraId="622919D8"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50</w:t>
            </w:r>
          </w:p>
        </w:tc>
        <w:tc>
          <w:tcPr>
            <w:tcW w:w="1275" w:type="dxa"/>
            <w:tcBorders>
              <w:bottom w:val="nil"/>
            </w:tcBorders>
          </w:tcPr>
          <w:p w14:paraId="5DD14D9B"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25</w:t>
            </w:r>
          </w:p>
        </w:tc>
        <w:tc>
          <w:tcPr>
            <w:tcW w:w="1134" w:type="dxa"/>
            <w:tcBorders>
              <w:bottom w:val="nil"/>
            </w:tcBorders>
          </w:tcPr>
          <w:p w14:paraId="419B20DB"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50</w:t>
            </w:r>
          </w:p>
        </w:tc>
        <w:tc>
          <w:tcPr>
            <w:tcW w:w="1846" w:type="dxa"/>
            <w:gridSpan w:val="2"/>
            <w:tcBorders>
              <w:bottom w:val="nil"/>
            </w:tcBorders>
          </w:tcPr>
          <w:p w14:paraId="77483A76"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25</w:t>
            </w:r>
          </w:p>
        </w:tc>
      </w:tr>
      <w:tr w:rsidR="00052EDC" w:rsidRPr="008461F5" w14:paraId="2B21ACE5" w14:textId="77777777" w:rsidTr="001C480C">
        <w:trPr>
          <w:cnfStyle w:val="000000010000" w:firstRow="0" w:lastRow="0" w:firstColumn="0" w:lastColumn="0" w:oddVBand="0" w:evenVBand="0" w:oddHBand="0" w:evenHBand="1" w:firstRowFirstColumn="0" w:firstRowLastColumn="0" w:lastRowFirstColumn="0" w:lastRowLastColumn="0"/>
        </w:trPr>
        <w:tc>
          <w:tcPr>
            <w:tcW w:w="1700" w:type="dxa"/>
            <w:tcBorders>
              <w:bottom w:val="single" w:sz="4" w:space="0" w:color="auto"/>
            </w:tcBorders>
          </w:tcPr>
          <w:p w14:paraId="423292AC"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w:t>
            </w:r>
          </w:p>
        </w:tc>
        <w:tc>
          <w:tcPr>
            <w:tcW w:w="2128" w:type="dxa"/>
            <w:tcBorders>
              <w:bottom w:val="single" w:sz="4" w:space="0" w:color="auto"/>
            </w:tcBorders>
          </w:tcPr>
          <w:p w14:paraId="293196C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Potato chips including starch based snacks from roots, tubers, pulses and legumes</w:t>
            </w:r>
          </w:p>
        </w:tc>
        <w:tc>
          <w:tcPr>
            <w:tcW w:w="1559" w:type="dxa"/>
            <w:tcBorders>
              <w:bottom w:val="single" w:sz="4" w:space="0" w:color="auto"/>
            </w:tcBorders>
          </w:tcPr>
          <w:p w14:paraId="6E71C593"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bidi="ar-SA"/>
              </w:rPr>
              <w:t>20.2.4.2.2.1</w:t>
            </w:r>
          </w:p>
        </w:tc>
        <w:tc>
          <w:tcPr>
            <w:tcW w:w="2411" w:type="dxa"/>
            <w:tcBorders>
              <w:bottom w:val="single" w:sz="4" w:space="0" w:color="auto"/>
            </w:tcBorders>
          </w:tcPr>
          <w:p w14:paraId="1DB59995" w14:textId="77777777" w:rsidR="00052EDC" w:rsidRPr="008461F5" w:rsidRDefault="00052EDC" w:rsidP="00AF4A81">
            <w:pPr>
              <w:widowControl/>
              <w:spacing w:before="40" w:after="40"/>
              <w:rPr>
                <w:color w:val="000000"/>
                <w:sz w:val="18"/>
                <w:szCs w:val="18"/>
                <w:lang w:bidi="ar-SA"/>
              </w:rPr>
            </w:pPr>
            <w:r w:rsidRPr="008461F5">
              <w:rPr>
                <w:color w:val="000000"/>
                <w:sz w:val="18"/>
                <w:szCs w:val="18"/>
                <w:lang w:eastAsia="en-AU" w:bidi="ar-SA"/>
              </w:rPr>
              <w:t>Root vegetable based snacks</w:t>
            </w:r>
          </w:p>
        </w:tc>
        <w:tc>
          <w:tcPr>
            <w:tcW w:w="1133" w:type="dxa"/>
            <w:tcBorders>
              <w:bottom w:val="single" w:sz="4" w:space="0" w:color="auto"/>
            </w:tcBorders>
          </w:tcPr>
          <w:p w14:paraId="5AD1A24C" w14:textId="77777777" w:rsidR="00052EDC" w:rsidRPr="008461F5" w:rsidRDefault="00052EDC" w:rsidP="00AF4A81">
            <w:pPr>
              <w:widowControl/>
              <w:tabs>
                <w:tab w:val="decimal" w:pos="738"/>
              </w:tabs>
              <w:spacing w:before="40" w:after="40"/>
              <w:rPr>
                <w:sz w:val="18"/>
                <w:szCs w:val="18"/>
                <w:lang w:bidi="ar-SA"/>
              </w:rPr>
            </w:pPr>
            <w:r w:rsidRPr="008461F5">
              <w:rPr>
                <w:sz w:val="18"/>
                <w:szCs w:val="18"/>
                <w:lang w:bidi="ar-SA"/>
              </w:rPr>
              <w:t>0</w:t>
            </w:r>
          </w:p>
        </w:tc>
        <w:tc>
          <w:tcPr>
            <w:tcW w:w="1134" w:type="dxa"/>
            <w:tcBorders>
              <w:bottom w:val="single" w:sz="4" w:space="0" w:color="auto"/>
            </w:tcBorders>
          </w:tcPr>
          <w:p w14:paraId="374C2E27" w14:textId="77777777" w:rsidR="00052EDC" w:rsidRPr="008461F5" w:rsidRDefault="00052EDC" w:rsidP="00AF4A81">
            <w:pPr>
              <w:widowControl/>
              <w:tabs>
                <w:tab w:val="decimal" w:pos="627"/>
              </w:tabs>
              <w:spacing w:before="40" w:after="40"/>
              <w:rPr>
                <w:sz w:val="18"/>
                <w:szCs w:val="18"/>
                <w:lang w:bidi="ar-SA"/>
              </w:rPr>
            </w:pPr>
            <w:r w:rsidRPr="008461F5">
              <w:rPr>
                <w:sz w:val="18"/>
                <w:szCs w:val="18"/>
                <w:lang w:bidi="ar-SA"/>
              </w:rPr>
              <w:t>20</w:t>
            </w:r>
          </w:p>
        </w:tc>
        <w:tc>
          <w:tcPr>
            <w:tcW w:w="1275" w:type="dxa"/>
            <w:tcBorders>
              <w:bottom w:val="single" w:sz="4" w:space="0" w:color="auto"/>
            </w:tcBorders>
          </w:tcPr>
          <w:p w14:paraId="00936145" w14:textId="77777777" w:rsidR="00052EDC" w:rsidRPr="008461F5" w:rsidRDefault="00052EDC" w:rsidP="00AF4A81">
            <w:pPr>
              <w:widowControl/>
              <w:tabs>
                <w:tab w:val="decimal" w:pos="559"/>
              </w:tabs>
              <w:spacing w:before="40" w:after="40"/>
              <w:rPr>
                <w:color w:val="000000"/>
                <w:sz w:val="18"/>
                <w:szCs w:val="18"/>
                <w:lang w:bidi="ar-SA"/>
              </w:rPr>
            </w:pPr>
            <w:r w:rsidRPr="008461F5">
              <w:rPr>
                <w:sz w:val="18"/>
                <w:szCs w:val="18"/>
                <w:lang w:bidi="ar-SA"/>
              </w:rPr>
              <w:t>10</w:t>
            </w:r>
          </w:p>
        </w:tc>
        <w:tc>
          <w:tcPr>
            <w:tcW w:w="1134" w:type="dxa"/>
            <w:tcBorders>
              <w:bottom w:val="single" w:sz="4" w:space="0" w:color="auto"/>
            </w:tcBorders>
          </w:tcPr>
          <w:p w14:paraId="3107320A" w14:textId="77777777" w:rsidR="00052EDC" w:rsidRPr="008461F5" w:rsidRDefault="00052EDC" w:rsidP="00AF4A81">
            <w:pPr>
              <w:widowControl/>
              <w:tabs>
                <w:tab w:val="decimal" w:pos="799"/>
              </w:tabs>
              <w:spacing w:before="40" w:after="40"/>
              <w:rPr>
                <w:color w:val="000000"/>
                <w:sz w:val="18"/>
                <w:szCs w:val="18"/>
                <w:lang w:bidi="ar-SA"/>
              </w:rPr>
            </w:pPr>
            <w:r w:rsidRPr="008461F5">
              <w:rPr>
                <w:color w:val="000000"/>
                <w:sz w:val="18"/>
                <w:szCs w:val="18"/>
                <w:lang w:bidi="ar-SA"/>
              </w:rPr>
              <w:t>20</w:t>
            </w:r>
          </w:p>
        </w:tc>
        <w:tc>
          <w:tcPr>
            <w:tcW w:w="1846" w:type="dxa"/>
            <w:gridSpan w:val="2"/>
            <w:tcBorders>
              <w:bottom w:val="single" w:sz="4" w:space="0" w:color="auto"/>
            </w:tcBorders>
          </w:tcPr>
          <w:p w14:paraId="7C177648" w14:textId="77777777" w:rsidR="00052EDC" w:rsidRPr="008461F5" w:rsidRDefault="00052EDC" w:rsidP="00AF4A81">
            <w:pPr>
              <w:widowControl/>
              <w:tabs>
                <w:tab w:val="decimal" w:pos="799"/>
              </w:tabs>
              <w:spacing w:before="40" w:after="40"/>
              <w:rPr>
                <w:color w:val="000000"/>
                <w:sz w:val="18"/>
                <w:szCs w:val="18"/>
                <w:lang w:bidi="ar-SA"/>
              </w:rPr>
            </w:pPr>
            <w:r w:rsidRPr="008461F5">
              <w:rPr>
                <w:sz w:val="18"/>
                <w:szCs w:val="18"/>
                <w:lang w:bidi="ar-SA"/>
              </w:rPr>
              <w:t>10</w:t>
            </w:r>
          </w:p>
        </w:tc>
      </w:tr>
    </w:tbl>
    <w:p w14:paraId="45F28B4F" w14:textId="77777777" w:rsidR="00052EDC" w:rsidRDefault="00052EDC" w:rsidP="00B21CC3">
      <w:pPr>
        <w:widowControl/>
        <w:numPr>
          <w:ilvl w:val="0"/>
          <w:numId w:val="5"/>
        </w:numPr>
        <w:spacing w:after="120"/>
        <w:contextualSpacing/>
        <w:rPr>
          <w:rFonts w:eastAsia="Calibri" w:cs="Arial"/>
          <w:i/>
          <w:color w:val="2E3037"/>
          <w:sz w:val="16"/>
          <w:szCs w:val="18"/>
          <w:lang w:val="en-AU" w:bidi="ar-SA"/>
        </w:rPr>
        <w:sectPr w:rsidR="00052EDC" w:rsidSect="00FC71A8">
          <w:pgSz w:w="16838" w:h="11906" w:orient="landscape"/>
          <w:pgMar w:top="1418" w:right="1418" w:bottom="1418" w:left="1418" w:header="709" w:footer="709" w:gutter="0"/>
          <w:cols w:space="708"/>
          <w:docGrid w:linePitch="360"/>
        </w:sectPr>
      </w:pPr>
      <w:r w:rsidRPr="008461F5">
        <w:rPr>
          <w:rFonts w:eastAsia="Calibri" w:cs="Arial"/>
          <w:i/>
          <w:color w:val="2E3037"/>
          <w:sz w:val="16"/>
          <w:szCs w:val="18"/>
          <w:lang w:val="en-AU" w:bidi="ar-SA"/>
        </w:rPr>
        <w:t>Usual Use levels for fats and oils is 80% of the MPL. For all other foods, the Usual Use level is 50% of the MPL.</w:t>
      </w:r>
    </w:p>
    <w:p w14:paraId="497CC7FF" w14:textId="557B14FE" w:rsidR="0097427E" w:rsidRPr="00B748C3" w:rsidRDefault="0097427E" w:rsidP="00B748C3">
      <w:pPr>
        <w:pStyle w:val="FSTableTitle"/>
        <w:spacing w:after="120"/>
        <w:rPr>
          <w:i/>
        </w:rPr>
      </w:pPr>
      <w:bookmarkStart w:id="206" w:name="_Ref515883344"/>
      <w:bookmarkStart w:id="207" w:name="_Ref515900451"/>
      <w:bookmarkStart w:id="208" w:name="_Ref515900439"/>
      <w:r w:rsidRPr="00B748C3">
        <w:rPr>
          <w:i/>
        </w:rPr>
        <w:lastRenderedPageBreak/>
        <w:t>Table</w:t>
      </w:r>
      <w:r w:rsidR="009E4CEA"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5</w:t>
      </w:r>
      <w:r w:rsidR="00BD2527" w:rsidRPr="00B748C3">
        <w:rPr>
          <w:i/>
          <w:noProof/>
        </w:rPr>
        <w:fldChar w:fldCharType="end"/>
      </w:r>
      <w:bookmarkEnd w:id="206"/>
      <w:bookmarkEnd w:id="207"/>
      <w:r w:rsidRPr="00B748C3">
        <w:rPr>
          <w:i/>
        </w:rPr>
        <w:t>:</w:t>
      </w:r>
      <w:r w:rsidR="00B75459" w:rsidRPr="00B748C3">
        <w:rPr>
          <w:i/>
        </w:rPr>
        <w:tab/>
      </w:r>
      <w:r w:rsidRPr="00B748C3">
        <w:rPr>
          <w:i/>
        </w:rPr>
        <w:t xml:space="preserve">Summary of estimated dietary exposures to </w:t>
      </w:r>
      <w:r w:rsidR="0048026B" w:rsidRPr="00B748C3">
        <w:rPr>
          <w:i/>
        </w:rPr>
        <w:t>carnosic acid plus carnosol</w:t>
      </w:r>
      <w:r w:rsidRPr="00B748C3">
        <w:rPr>
          <w:i/>
        </w:rPr>
        <w:t xml:space="preserve"> from all scenarios assessed for Australians and New Zealanders</w:t>
      </w:r>
      <w:bookmarkEnd w:id="208"/>
    </w:p>
    <w:tbl>
      <w:tblPr>
        <w:tblStyle w:val="Table"/>
        <w:tblW w:w="9498" w:type="dxa"/>
        <w:tblLayout w:type="fixed"/>
        <w:tblLook w:val="04A0" w:firstRow="1" w:lastRow="0" w:firstColumn="1" w:lastColumn="0" w:noHBand="0" w:noVBand="1"/>
        <w:tblDescription w:val="Estimated mean and P90 dietary exposures to Carnosic acid plus Carnosol for Australian and New Zealand population groups for each scenario, expressed on a body weight basis."/>
      </w:tblPr>
      <w:tblGrid>
        <w:gridCol w:w="1541"/>
        <w:gridCol w:w="1397"/>
        <w:gridCol w:w="2481"/>
        <w:gridCol w:w="1258"/>
        <w:gridCol w:w="1410"/>
        <w:gridCol w:w="1411"/>
      </w:tblGrid>
      <w:tr w:rsidR="0097427E" w:rsidRPr="0015469A" w14:paraId="30774B31" w14:textId="77777777" w:rsidTr="00B75459">
        <w:trPr>
          <w:cnfStyle w:val="100000000000" w:firstRow="1" w:lastRow="0" w:firstColumn="0" w:lastColumn="0" w:oddVBand="0" w:evenVBand="0" w:oddHBand="0" w:evenHBand="0" w:firstRowFirstColumn="0" w:firstRowLastColumn="0" w:lastRowFirstColumn="0" w:lastRowLastColumn="0"/>
          <w:trHeight w:val="335"/>
        </w:trPr>
        <w:tc>
          <w:tcPr>
            <w:tcW w:w="1541" w:type="dxa"/>
          </w:tcPr>
          <w:p w14:paraId="53116417"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Country</w:t>
            </w:r>
          </w:p>
        </w:tc>
        <w:tc>
          <w:tcPr>
            <w:tcW w:w="1397" w:type="dxa"/>
          </w:tcPr>
          <w:p w14:paraId="5D39BA1E"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Age group</w:t>
            </w:r>
          </w:p>
        </w:tc>
        <w:tc>
          <w:tcPr>
            <w:tcW w:w="2481" w:type="dxa"/>
          </w:tcPr>
          <w:p w14:paraId="0AA60318" w14:textId="77777777" w:rsidR="0097427E" w:rsidRPr="0015469A" w:rsidRDefault="0097427E" w:rsidP="00887453">
            <w:pPr>
              <w:keepNext/>
              <w:keepLines/>
              <w:spacing w:before="60" w:after="60"/>
              <w:contextualSpacing/>
              <w:rPr>
                <w:rFonts w:cs="Arial"/>
                <w:sz w:val="20"/>
                <w:szCs w:val="20"/>
              </w:rPr>
            </w:pPr>
            <w:r w:rsidRPr="0015469A">
              <w:rPr>
                <w:rFonts w:cs="Arial"/>
                <w:sz w:val="20"/>
                <w:szCs w:val="20"/>
              </w:rPr>
              <w:t>Scenario</w:t>
            </w:r>
          </w:p>
        </w:tc>
        <w:tc>
          <w:tcPr>
            <w:tcW w:w="1258" w:type="dxa"/>
          </w:tcPr>
          <w:p w14:paraId="1DD15C4E" w14:textId="2FF7357B" w:rsidR="0097427E" w:rsidRPr="0015469A" w:rsidRDefault="0097427E" w:rsidP="00887453">
            <w:pPr>
              <w:keepNext/>
              <w:keepLines/>
              <w:spacing w:before="60" w:after="60"/>
              <w:contextualSpacing/>
              <w:jc w:val="center"/>
              <w:rPr>
                <w:rFonts w:cs="Arial"/>
                <w:sz w:val="20"/>
                <w:szCs w:val="20"/>
              </w:rPr>
            </w:pPr>
            <w:r w:rsidRPr="0015469A">
              <w:rPr>
                <w:rFonts w:cs="Arial"/>
                <w:sz w:val="20"/>
                <w:szCs w:val="20"/>
              </w:rPr>
              <w:t>% cons to resp.</w:t>
            </w:r>
            <w:r w:rsidR="001F7442" w:rsidRPr="0015469A">
              <w:rPr>
                <w:rFonts w:cs="Arial"/>
                <w:sz w:val="20"/>
                <w:szCs w:val="20"/>
                <w:vertAlign w:val="superscript"/>
              </w:rPr>
              <w:sym w:font="Wingdings" w:char="F074"/>
            </w:r>
          </w:p>
        </w:tc>
        <w:tc>
          <w:tcPr>
            <w:tcW w:w="2821" w:type="dxa"/>
            <w:gridSpan w:val="2"/>
          </w:tcPr>
          <w:p w14:paraId="03CED2BD" w14:textId="54D4120D" w:rsidR="0097427E" w:rsidRPr="0015469A" w:rsidRDefault="0097427E" w:rsidP="00887453">
            <w:pPr>
              <w:keepNext/>
              <w:keepLines/>
              <w:spacing w:before="60" w:after="60"/>
              <w:contextualSpacing/>
              <w:jc w:val="center"/>
              <w:rPr>
                <w:b w:val="0"/>
                <w:bCs/>
                <w:sz w:val="20"/>
                <w:szCs w:val="20"/>
              </w:rPr>
            </w:pPr>
            <w:r w:rsidRPr="0015469A">
              <w:rPr>
                <w:rFonts w:cs="Arial"/>
                <w:sz w:val="20"/>
                <w:szCs w:val="20"/>
              </w:rPr>
              <w:t xml:space="preserve">Estimated consumer dietary exposure to </w:t>
            </w:r>
            <w:r w:rsidR="005B5EED" w:rsidRPr="0015469A">
              <w:rPr>
                <w:rFonts w:cs="Arial"/>
                <w:sz w:val="20"/>
                <w:szCs w:val="20"/>
              </w:rPr>
              <w:t>carnosic acid plus c</w:t>
            </w:r>
            <w:r w:rsidRPr="0015469A">
              <w:rPr>
                <w:rFonts w:cs="Arial"/>
                <w:sz w:val="20"/>
                <w:szCs w:val="20"/>
              </w:rPr>
              <w:t>arnosol (mg/kg bw/day)</w:t>
            </w:r>
          </w:p>
        </w:tc>
      </w:tr>
      <w:tr w:rsidR="0097427E" w:rsidRPr="0015469A" w14:paraId="7E8ACFB8"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B8C68EB" w14:textId="77777777" w:rsidR="0097427E" w:rsidRPr="0015469A" w:rsidRDefault="0097427E" w:rsidP="00887453">
            <w:pPr>
              <w:keepNext/>
              <w:keepLines/>
              <w:spacing w:before="60" w:after="60"/>
              <w:contextualSpacing/>
              <w:rPr>
                <w:rFonts w:cs="Arial"/>
                <w:color w:val="auto"/>
                <w:sz w:val="20"/>
                <w:szCs w:val="20"/>
              </w:rPr>
            </w:pPr>
          </w:p>
        </w:tc>
        <w:tc>
          <w:tcPr>
            <w:tcW w:w="1397" w:type="dxa"/>
          </w:tcPr>
          <w:p w14:paraId="04A20293" w14:textId="77777777" w:rsidR="0097427E" w:rsidRPr="0015469A" w:rsidRDefault="0097427E" w:rsidP="00887453">
            <w:pPr>
              <w:keepNext/>
              <w:keepLines/>
              <w:spacing w:before="60" w:after="60"/>
              <w:contextualSpacing/>
              <w:rPr>
                <w:rFonts w:cs="Arial"/>
                <w:color w:val="auto"/>
                <w:sz w:val="20"/>
                <w:szCs w:val="20"/>
              </w:rPr>
            </w:pPr>
          </w:p>
        </w:tc>
        <w:tc>
          <w:tcPr>
            <w:tcW w:w="2481" w:type="dxa"/>
          </w:tcPr>
          <w:p w14:paraId="564976FA" w14:textId="77777777" w:rsidR="0097427E" w:rsidRPr="0015469A" w:rsidRDefault="0097427E" w:rsidP="00887453">
            <w:pPr>
              <w:keepNext/>
              <w:keepLines/>
              <w:spacing w:before="60" w:after="60"/>
              <w:contextualSpacing/>
              <w:jc w:val="center"/>
              <w:rPr>
                <w:rFonts w:cs="Arial"/>
                <w:color w:val="auto"/>
                <w:sz w:val="20"/>
                <w:szCs w:val="20"/>
              </w:rPr>
            </w:pPr>
          </w:p>
        </w:tc>
        <w:tc>
          <w:tcPr>
            <w:tcW w:w="1258" w:type="dxa"/>
          </w:tcPr>
          <w:p w14:paraId="5B6629CA" w14:textId="77777777" w:rsidR="0097427E" w:rsidRPr="0015469A" w:rsidRDefault="0097427E" w:rsidP="00887453">
            <w:pPr>
              <w:keepNext/>
              <w:keepLines/>
              <w:spacing w:before="60" w:after="60"/>
              <w:contextualSpacing/>
              <w:jc w:val="center"/>
              <w:rPr>
                <w:rFonts w:cs="Arial"/>
                <w:color w:val="auto"/>
                <w:sz w:val="20"/>
                <w:szCs w:val="20"/>
              </w:rPr>
            </w:pPr>
          </w:p>
        </w:tc>
        <w:tc>
          <w:tcPr>
            <w:tcW w:w="1410" w:type="dxa"/>
          </w:tcPr>
          <w:p w14:paraId="795E0378" w14:textId="77777777" w:rsidR="0097427E" w:rsidRPr="00B75459" w:rsidRDefault="0097427E" w:rsidP="00887453">
            <w:pPr>
              <w:keepNext/>
              <w:keepLines/>
              <w:spacing w:before="60" w:after="60"/>
              <w:contextualSpacing/>
              <w:jc w:val="center"/>
              <w:rPr>
                <w:rFonts w:cs="Arial"/>
                <w:b/>
                <w:color w:val="auto"/>
                <w:sz w:val="20"/>
                <w:szCs w:val="20"/>
              </w:rPr>
            </w:pPr>
            <w:r w:rsidRPr="00B75459">
              <w:rPr>
                <w:rFonts w:cs="Arial"/>
                <w:b/>
                <w:sz w:val="20"/>
                <w:szCs w:val="20"/>
              </w:rPr>
              <w:t>Mean</w:t>
            </w:r>
          </w:p>
        </w:tc>
        <w:tc>
          <w:tcPr>
            <w:tcW w:w="1411" w:type="dxa"/>
          </w:tcPr>
          <w:p w14:paraId="26B811AD" w14:textId="77777777" w:rsidR="0097427E" w:rsidRPr="00B75459" w:rsidRDefault="0097427E" w:rsidP="00887453">
            <w:pPr>
              <w:keepNext/>
              <w:keepLines/>
              <w:spacing w:before="60" w:after="60"/>
              <w:contextualSpacing/>
              <w:jc w:val="center"/>
              <w:rPr>
                <w:rFonts w:cs="Arial"/>
                <w:b/>
                <w:color w:val="auto"/>
                <w:sz w:val="20"/>
                <w:szCs w:val="20"/>
              </w:rPr>
            </w:pPr>
            <w:r w:rsidRPr="00B75459">
              <w:rPr>
                <w:rFonts w:cs="Arial"/>
                <w:b/>
                <w:sz w:val="20"/>
                <w:szCs w:val="20"/>
              </w:rPr>
              <w:t>P90</w:t>
            </w:r>
          </w:p>
        </w:tc>
      </w:tr>
      <w:tr w:rsidR="0097427E" w:rsidRPr="0015469A" w14:paraId="77F1C590"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E4FB6B0"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Australia</w:t>
            </w:r>
          </w:p>
        </w:tc>
        <w:tc>
          <w:tcPr>
            <w:tcW w:w="1397" w:type="dxa"/>
          </w:tcPr>
          <w:p w14:paraId="432046B1"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2 years and above</w:t>
            </w:r>
            <w:r w:rsidRPr="0015469A">
              <w:rPr>
                <w:rFonts w:cs="Arial"/>
                <w:color w:val="auto"/>
                <w:sz w:val="20"/>
                <w:szCs w:val="20"/>
                <w:vertAlign w:val="superscript"/>
              </w:rPr>
              <w:sym w:font="Wingdings" w:char="F076"/>
            </w:r>
          </w:p>
        </w:tc>
        <w:tc>
          <w:tcPr>
            <w:tcW w:w="2481" w:type="dxa"/>
          </w:tcPr>
          <w:p w14:paraId="4844DC73" w14:textId="77777777" w:rsidR="0097427E" w:rsidRPr="0015469A" w:rsidRDefault="0097427E" w:rsidP="00887453">
            <w:pPr>
              <w:keepNext/>
              <w:keepLines/>
              <w:spacing w:before="60" w:after="60"/>
              <w:rPr>
                <w:rFonts w:cs="Arial"/>
                <w:i/>
                <w:color w:val="auto"/>
                <w:sz w:val="20"/>
                <w:szCs w:val="20"/>
              </w:rPr>
            </w:pPr>
            <w:r w:rsidRPr="0015469A">
              <w:rPr>
                <w:rFonts w:cs="Arial"/>
                <w:i/>
                <w:color w:val="auto"/>
                <w:sz w:val="20"/>
                <w:szCs w:val="20"/>
              </w:rPr>
              <w:t>Naturally-occurring</w:t>
            </w:r>
          </w:p>
        </w:tc>
        <w:tc>
          <w:tcPr>
            <w:tcW w:w="1258" w:type="dxa"/>
          </w:tcPr>
          <w:p w14:paraId="14CA140D"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5.8</w:t>
            </w:r>
          </w:p>
        </w:tc>
        <w:tc>
          <w:tcPr>
            <w:tcW w:w="1410" w:type="dxa"/>
          </w:tcPr>
          <w:p w14:paraId="276FFC42"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0.048</w:t>
            </w:r>
          </w:p>
        </w:tc>
        <w:tc>
          <w:tcPr>
            <w:tcW w:w="1411" w:type="dxa"/>
          </w:tcPr>
          <w:p w14:paraId="0E2D3909"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0.081</w:t>
            </w:r>
          </w:p>
        </w:tc>
      </w:tr>
      <w:tr w:rsidR="00E372D2" w:rsidRPr="0015469A" w14:paraId="7E94B90E"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11352777" w14:textId="77777777" w:rsidR="00E372D2" w:rsidRPr="0015469A" w:rsidRDefault="00E372D2" w:rsidP="00E372D2">
            <w:pPr>
              <w:keepNext/>
              <w:keepLines/>
              <w:spacing w:before="60" w:after="60"/>
              <w:rPr>
                <w:rFonts w:cs="Arial"/>
                <w:color w:val="auto"/>
                <w:sz w:val="20"/>
                <w:szCs w:val="20"/>
              </w:rPr>
            </w:pPr>
          </w:p>
        </w:tc>
        <w:tc>
          <w:tcPr>
            <w:tcW w:w="1397" w:type="dxa"/>
          </w:tcPr>
          <w:p w14:paraId="3F37C756" w14:textId="77777777" w:rsidR="00E372D2" w:rsidRPr="0015469A" w:rsidRDefault="00E372D2" w:rsidP="00E372D2">
            <w:pPr>
              <w:keepNext/>
              <w:keepLines/>
              <w:spacing w:before="60" w:after="60"/>
              <w:rPr>
                <w:rFonts w:cs="Arial"/>
                <w:color w:val="auto"/>
                <w:sz w:val="20"/>
                <w:szCs w:val="20"/>
              </w:rPr>
            </w:pPr>
          </w:p>
        </w:tc>
        <w:tc>
          <w:tcPr>
            <w:tcW w:w="2481" w:type="dxa"/>
          </w:tcPr>
          <w:p w14:paraId="59E7168B" w14:textId="77777777" w:rsidR="00E372D2" w:rsidRPr="0015469A" w:rsidRDefault="00E372D2" w:rsidP="00E372D2">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1158A658" w14:textId="77777777" w:rsidR="00E372D2" w:rsidRPr="0015469A" w:rsidRDefault="00E372D2" w:rsidP="00E372D2">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0F23B43" w14:textId="1EDE7773" w:rsidR="00E372D2" w:rsidRPr="00E372D2" w:rsidRDefault="00E372D2" w:rsidP="00E372D2">
            <w:pPr>
              <w:keepNext/>
              <w:keepLines/>
              <w:tabs>
                <w:tab w:val="decimal" w:pos="750"/>
              </w:tabs>
              <w:spacing w:before="60" w:after="60"/>
              <w:rPr>
                <w:rFonts w:cs="Arial"/>
                <w:color w:val="auto"/>
                <w:sz w:val="20"/>
                <w:szCs w:val="20"/>
              </w:rPr>
            </w:pPr>
            <w:r w:rsidRPr="00E372D2">
              <w:rPr>
                <w:sz w:val="20"/>
                <w:szCs w:val="20"/>
              </w:rPr>
              <w:t>0.084</w:t>
            </w:r>
          </w:p>
        </w:tc>
        <w:tc>
          <w:tcPr>
            <w:tcW w:w="1411" w:type="dxa"/>
          </w:tcPr>
          <w:p w14:paraId="37D84325" w14:textId="77777777" w:rsidR="00E372D2" w:rsidRPr="0015469A" w:rsidRDefault="00E372D2" w:rsidP="00E372D2">
            <w:pPr>
              <w:keepNext/>
              <w:keepLines/>
              <w:tabs>
                <w:tab w:val="decimal" w:pos="750"/>
              </w:tabs>
              <w:spacing w:before="60" w:after="60"/>
              <w:rPr>
                <w:rFonts w:cs="Arial"/>
                <w:color w:val="auto"/>
                <w:sz w:val="20"/>
                <w:szCs w:val="20"/>
              </w:rPr>
            </w:pPr>
            <w:r w:rsidRPr="0015469A">
              <w:rPr>
                <w:rFonts w:cs="Arial"/>
                <w:color w:val="000000"/>
                <w:sz w:val="20"/>
                <w:szCs w:val="20"/>
              </w:rPr>
              <w:t>0.18</w:t>
            </w:r>
          </w:p>
        </w:tc>
      </w:tr>
      <w:tr w:rsidR="00E372D2" w:rsidRPr="0015469A" w14:paraId="7B020E86"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A8C4D64" w14:textId="77777777" w:rsidR="00E372D2" w:rsidRPr="0015469A" w:rsidRDefault="00E372D2" w:rsidP="00E372D2">
            <w:pPr>
              <w:keepNext/>
              <w:keepLines/>
              <w:spacing w:before="60" w:after="60"/>
              <w:rPr>
                <w:rFonts w:cs="Arial"/>
                <w:color w:val="auto"/>
                <w:sz w:val="20"/>
                <w:szCs w:val="20"/>
              </w:rPr>
            </w:pPr>
          </w:p>
        </w:tc>
        <w:tc>
          <w:tcPr>
            <w:tcW w:w="1397" w:type="dxa"/>
          </w:tcPr>
          <w:p w14:paraId="6381C02E" w14:textId="77777777" w:rsidR="00E372D2" w:rsidRPr="0015469A" w:rsidRDefault="00E372D2" w:rsidP="00E372D2">
            <w:pPr>
              <w:keepNext/>
              <w:keepLines/>
              <w:spacing w:before="60" w:after="60"/>
              <w:rPr>
                <w:rFonts w:cs="Arial"/>
                <w:color w:val="auto"/>
                <w:sz w:val="20"/>
                <w:szCs w:val="20"/>
              </w:rPr>
            </w:pPr>
          </w:p>
        </w:tc>
        <w:tc>
          <w:tcPr>
            <w:tcW w:w="2481" w:type="dxa"/>
          </w:tcPr>
          <w:p w14:paraId="03B6902A" w14:textId="77777777" w:rsidR="00E372D2" w:rsidRPr="0015469A" w:rsidRDefault="00E372D2" w:rsidP="00E372D2">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0DC53A82" w14:textId="77777777" w:rsidR="00E372D2" w:rsidRPr="0015469A" w:rsidRDefault="00E372D2" w:rsidP="00E372D2">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626236E3" w14:textId="2E12E1F4" w:rsidR="00E372D2" w:rsidRPr="00E372D2" w:rsidRDefault="00E372D2" w:rsidP="00E372D2">
            <w:pPr>
              <w:keepNext/>
              <w:keepLines/>
              <w:tabs>
                <w:tab w:val="decimal" w:pos="750"/>
              </w:tabs>
              <w:spacing w:before="60" w:after="60"/>
              <w:rPr>
                <w:rFonts w:cs="Arial"/>
                <w:color w:val="auto"/>
                <w:sz w:val="20"/>
                <w:szCs w:val="20"/>
              </w:rPr>
            </w:pPr>
            <w:r w:rsidRPr="00E372D2">
              <w:rPr>
                <w:sz w:val="20"/>
                <w:szCs w:val="20"/>
              </w:rPr>
              <w:t>0.086</w:t>
            </w:r>
          </w:p>
        </w:tc>
        <w:tc>
          <w:tcPr>
            <w:tcW w:w="1411" w:type="dxa"/>
          </w:tcPr>
          <w:p w14:paraId="6CE07C00" w14:textId="77777777" w:rsidR="00E372D2" w:rsidRPr="0015469A" w:rsidRDefault="00E372D2" w:rsidP="00E372D2">
            <w:pPr>
              <w:keepNext/>
              <w:keepLines/>
              <w:tabs>
                <w:tab w:val="decimal" w:pos="750"/>
              </w:tabs>
              <w:spacing w:before="60" w:after="60"/>
              <w:rPr>
                <w:rFonts w:cs="Arial"/>
                <w:color w:val="auto"/>
                <w:sz w:val="20"/>
                <w:szCs w:val="20"/>
              </w:rPr>
            </w:pPr>
            <w:r w:rsidRPr="0015469A">
              <w:rPr>
                <w:rFonts w:cs="Arial"/>
                <w:color w:val="000000"/>
                <w:sz w:val="20"/>
                <w:szCs w:val="20"/>
              </w:rPr>
              <w:t>0.18</w:t>
            </w:r>
          </w:p>
        </w:tc>
      </w:tr>
      <w:tr w:rsidR="00E372D2" w:rsidRPr="0015469A" w14:paraId="5654ED81"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18F414B5" w14:textId="77777777" w:rsidR="00E372D2" w:rsidRPr="0015469A" w:rsidRDefault="00E372D2" w:rsidP="00E372D2">
            <w:pPr>
              <w:keepNext/>
              <w:keepLines/>
              <w:spacing w:before="60" w:after="60"/>
              <w:rPr>
                <w:rFonts w:cs="Arial"/>
                <w:color w:val="auto"/>
                <w:sz w:val="20"/>
                <w:szCs w:val="20"/>
              </w:rPr>
            </w:pPr>
          </w:p>
        </w:tc>
        <w:tc>
          <w:tcPr>
            <w:tcW w:w="1397" w:type="dxa"/>
          </w:tcPr>
          <w:p w14:paraId="66CB1820" w14:textId="77777777" w:rsidR="00E372D2" w:rsidRPr="0015469A" w:rsidRDefault="00E372D2" w:rsidP="00E372D2">
            <w:pPr>
              <w:keepNext/>
              <w:keepLines/>
              <w:spacing w:before="60" w:after="60"/>
              <w:rPr>
                <w:rFonts w:cs="Arial"/>
                <w:color w:val="auto"/>
                <w:sz w:val="20"/>
                <w:szCs w:val="20"/>
              </w:rPr>
            </w:pPr>
          </w:p>
        </w:tc>
        <w:tc>
          <w:tcPr>
            <w:tcW w:w="2481" w:type="dxa"/>
          </w:tcPr>
          <w:p w14:paraId="1869828E" w14:textId="77777777" w:rsidR="00E372D2" w:rsidRPr="0015469A" w:rsidRDefault="00E372D2" w:rsidP="00E372D2">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22C24FE3" w14:textId="77777777" w:rsidR="00E372D2" w:rsidRPr="0015469A" w:rsidRDefault="00E372D2" w:rsidP="00E372D2">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37F8A30" w14:textId="4BDB8115" w:rsidR="00E372D2" w:rsidRPr="00E372D2" w:rsidRDefault="00E372D2" w:rsidP="00E372D2">
            <w:pPr>
              <w:keepNext/>
              <w:keepLines/>
              <w:tabs>
                <w:tab w:val="decimal" w:pos="750"/>
              </w:tabs>
              <w:spacing w:before="60" w:after="60"/>
              <w:rPr>
                <w:rFonts w:cs="Arial"/>
                <w:color w:val="auto"/>
                <w:sz w:val="20"/>
                <w:szCs w:val="20"/>
              </w:rPr>
            </w:pPr>
            <w:r w:rsidRPr="00E372D2">
              <w:rPr>
                <w:sz w:val="20"/>
                <w:szCs w:val="20"/>
              </w:rPr>
              <w:t>0.043</w:t>
            </w:r>
          </w:p>
        </w:tc>
        <w:tc>
          <w:tcPr>
            <w:tcW w:w="1411" w:type="dxa"/>
          </w:tcPr>
          <w:p w14:paraId="1EE51B4C" w14:textId="50063AE1" w:rsidR="00E372D2" w:rsidRPr="0015469A" w:rsidRDefault="00E372D2" w:rsidP="00E372D2">
            <w:pPr>
              <w:keepNext/>
              <w:keepLines/>
              <w:tabs>
                <w:tab w:val="decimal" w:pos="750"/>
              </w:tabs>
              <w:spacing w:before="60" w:after="60"/>
              <w:rPr>
                <w:rFonts w:cs="Arial"/>
                <w:color w:val="auto"/>
                <w:sz w:val="20"/>
                <w:szCs w:val="20"/>
              </w:rPr>
            </w:pPr>
            <w:r>
              <w:rPr>
                <w:rFonts w:cs="Arial"/>
                <w:color w:val="auto"/>
                <w:sz w:val="20"/>
                <w:szCs w:val="20"/>
              </w:rPr>
              <w:t>0.0</w:t>
            </w:r>
            <w:r w:rsidRPr="0015469A">
              <w:rPr>
                <w:rFonts w:cs="Arial"/>
                <w:color w:val="auto"/>
                <w:sz w:val="20"/>
                <w:szCs w:val="20"/>
              </w:rPr>
              <w:t>9</w:t>
            </w:r>
            <w:r>
              <w:rPr>
                <w:rFonts w:cs="Arial"/>
                <w:color w:val="auto"/>
                <w:sz w:val="20"/>
                <w:szCs w:val="20"/>
              </w:rPr>
              <w:t>3</w:t>
            </w:r>
          </w:p>
        </w:tc>
      </w:tr>
      <w:tr w:rsidR="00E372D2" w:rsidRPr="0015469A" w14:paraId="39F7B699"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13283EDD" w14:textId="77777777" w:rsidR="00E372D2" w:rsidRPr="0015469A" w:rsidRDefault="00E372D2" w:rsidP="00E372D2">
            <w:pPr>
              <w:keepNext/>
              <w:keepLines/>
              <w:spacing w:before="60" w:after="60"/>
              <w:rPr>
                <w:rFonts w:cs="Arial"/>
                <w:color w:val="auto"/>
                <w:sz w:val="20"/>
                <w:szCs w:val="20"/>
              </w:rPr>
            </w:pPr>
          </w:p>
        </w:tc>
        <w:tc>
          <w:tcPr>
            <w:tcW w:w="1397" w:type="dxa"/>
          </w:tcPr>
          <w:p w14:paraId="0A006554" w14:textId="77777777" w:rsidR="00E372D2" w:rsidRPr="0015469A" w:rsidRDefault="00E372D2" w:rsidP="00E372D2">
            <w:pPr>
              <w:keepNext/>
              <w:keepLines/>
              <w:spacing w:before="60" w:after="60"/>
              <w:rPr>
                <w:rFonts w:cs="Arial"/>
                <w:color w:val="auto"/>
                <w:sz w:val="20"/>
                <w:szCs w:val="20"/>
              </w:rPr>
            </w:pPr>
          </w:p>
        </w:tc>
        <w:tc>
          <w:tcPr>
            <w:tcW w:w="2481" w:type="dxa"/>
          </w:tcPr>
          <w:p w14:paraId="4C3BEE1A" w14:textId="77777777" w:rsidR="00E372D2" w:rsidRPr="0015469A" w:rsidRDefault="00E372D2" w:rsidP="00E372D2">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322A4A31" w14:textId="77777777" w:rsidR="00E372D2" w:rsidRPr="0015469A" w:rsidRDefault="00E372D2" w:rsidP="00E372D2">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410" w:type="dxa"/>
          </w:tcPr>
          <w:p w14:paraId="1B6CFF1D" w14:textId="2C9176F0" w:rsidR="00E372D2" w:rsidRPr="00E372D2" w:rsidRDefault="00E372D2" w:rsidP="00E372D2">
            <w:pPr>
              <w:keepNext/>
              <w:keepLines/>
              <w:tabs>
                <w:tab w:val="decimal" w:pos="750"/>
              </w:tabs>
              <w:spacing w:before="60" w:after="60"/>
              <w:rPr>
                <w:rFonts w:cs="Arial"/>
                <w:color w:val="auto"/>
                <w:sz w:val="20"/>
                <w:szCs w:val="20"/>
              </w:rPr>
            </w:pPr>
            <w:r w:rsidRPr="00E372D2">
              <w:rPr>
                <w:sz w:val="20"/>
                <w:szCs w:val="20"/>
              </w:rPr>
              <w:t>0.045</w:t>
            </w:r>
          </w:p>
        </w:tc>
        <w:tc>
          <w:tcPr>
            <w:tcW w:w="1411" w:type="dxa"/>
          </w:tcPr>
          <w:p w14:paraId="3F83AFB0" w14:textId="50EA60B0" w:rsidR="00E372D2" w:rsidRPr="0015469A" w:rsidRDefault="00E372D2" w:rsidP="00E372D2">
            <w:pPr>
              <w:keepNext/>
              <w:keepLines/>
              <w:tabs>
                <w:tab w:val="decimal" w:pos="750"/>
              </w:tabs>
              <w:spacing w:before="60" w:after="60"/>
              <w:rPr>
                <w:rFonts w:cs="Arial"/>
                <w:color w:val="auto"/>
                <w:sz w:val="20"/>
                <w:szCs w:val="20"/>
              </w:rPr>
            </w:pPr>
            <w:r>
              <w:rPr>
                <w:rFonts w:cs="Arial"/>
                <w:color w:val="auto"/>
                <w:sz w:val="20"/>
                <w:szCs w:val="20"/>
              </w:rPr>
              <w:t>0.096</w:t>
            </w:r>
          </w:p>
        </w:tc>
      </w:tr>
      <w:tr w:rsidR="0097427E" w:rsidRPr="0015469A" w14:paraId="15C29924"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F24E63E" w14:textId="77777777" w:rsidR="0097427E" w:rsidRPr="0015469A" w:rsidRDefault="0097427E" w:rsidP="00887453">
            <w:pPr>
              <w:spacing w:before="60" w:after="60"/>
              <w:rPr>
                <w:rFonts w:cs="Arial"/>
                <w:color w:val="auto"/>
                <w:sz w:val="20"/>
                <w:szCs w:val="20"/>
              </w:rPr>
            </w:pPr>
            <w:r w:rsidRPr="0015469A">
              <w:rPr>
                <w:rFonts w:cs="Arial"/>
                <w:color w:val="auto"/>
                <w:sz w:val="20"/>
                <w:szCs w:val="20"/>
              </w:rPr>
              <w:t>New Zealand</w:t>
            </w:r>
          </w:p>
        </w:tc>
        <w:tc>
          <w:tcPr>
            <w:tcW w:w="1397" w:type="dxa"/>
          </w:tcPr>
          <w:p w14:paraId="75A1D07B" w14:textId="77777777" w:rsidR="0097427E" w:rsidRPr="0015469A" w:rsidRDefault="0097427E" w:rsidP="00887453">
            <w:pPr>
              <w:spacing w:before="60" w:after="60"/>
              <w:rPr>
                <w:rFonts w:cs="Arial"/>
                <w:color w:val="auto"/>
                <w:sz w:val="20"/>
                <w:szCs w:val="20"/>
              </w:rPr>
            </w:pPr>
            <w:r w:rsidRPr="0015469A">
              <w:rPr>
                <w:rFonts w:cs="Arial"/>
                <w:color w:val="auto"/>
                <w:sz w:val="20"/>
                <w:szCs w:val="20"/>
              </w:rPr>
              <w:t>5 – 14 years</w:t>
            </w:r>
            <w:r w:rsidRPr="0015469A">
              <w:rPr>
                <w:rFonts w:cs="Arial"/>
                <w:color w:val="auto"/>
                <w:sz w:val="20"/>
                <w:szCs w:val="20"/>
                <w:vertAlign w:val="superscript"/>
              </w:rPr>
              <w:sym w:font="Wingdings 3" w:char="F073"/>
            </w:r>
          </w:p>
        </w:tc>
        <w:tc>
          <w:tcPr>
            <w:tcW w:w="2481" w:type="dxa"/>
          </w:tcPr>
          <w:p w14:paraId="5BC7F78B"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w:t>
            </w:r>
          </w:p>
        </w:tc>
        <w:tc>
          <w:tcPr>
            <w:tcW w:w="1258" w:type="dxa"/>
          </w:tcPr>
          <w:p w14:paraId="217068E3"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0.1</w:t>
            </w:r>
          </w:p>
        </w:tc>
        <w:tc>
          <w:tcPr>
            <w:tcW w:w="1410" w:type="dxa"/>
          </w:tcPr>
          <w:p w14:paraId="70749AB0"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0.023</w:t>
            </w:r>
          </w:p>
        </w:tc>
        <w:tc>
          <w:tcPr>
            <w:tcW w:w="1411" w:type="dxa"/>
          </w:tcPr>
          <w:p w14:paraId="445F440E"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n/a</w:t>
            </w:r>
          </w:p>
        </w:tc>
      </w:tr>
      <w:tr w:rsidR="0097427E" w:rsidRPr="0015469A" w14:paraId="2CAC77BD"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6579BB90" w14:textId="77777777" w:rsidR="0097427E" w:rsidRPr="0015469A" w:rsidRDefault="0097427E" w:rsidP="00887453">
            <w:pPr>
              <w:spacing w:before="60" w:after="60"/>
              <w:rPr>
                <w:rFonts w:cs="Arial"/>
                <w:color w:val="auto"/>
                <w:sz w:val="20"/>
                <w:szCs w:val="20"/>
              </w:rPr>
            </w:pPr>
          </w:p>
        </w:tc>
        <w:tc>
          <w:tcPr>
            <w:tcW w:w="1397" w:type="dxa"/>
          </w:tcPr>
          <w:p w14:paraId="0A1D7A14" w14:textId="77777777" w:rsidR="0097427E" w:rsidRPr="0015469A" w:rsidRDefault="0097427E" w:rsidP="00887453">
            <w:pPr>
              <w:spacing w:before="60" w:after="60"/>
              <w:rPr>
                <w:rFonts w:cs="Arial"/>
                <w:color w:val="auto"/>
                <w:sz w:val="20"/>
                <w:szCs w:val="20"/>
              </w:rPr>
            </w:pPr>
          </w:p>
        </w:tc>
        <w:tc>
          <w:tcPr>
            <w:tcW w:w="2481" w:type="dxa"/>
          </w:tcPr>
          <w:p w14:paraId="27E100EC"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7DED254A"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0DBC73A2"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0.17</w:t>
            </w:r>
          </w:p>
        </w:tc>
        <w:tc>
          <w:tcPr>
            <w:tcW w:w="1411" w:type="dxa"/>
          </w:tcPr>
          <w:p w14:paraId="11ACC91F" w14:textId="792DF927" w:rsidR="0097427E" w:rsidRPr="0015469A" w:rsidRDefault="00E372D2" w:rsidP="00887453">
            <w:pPr>
              <w:tabs>
                <w:tab w:val="decimal" w:pos="750"/>
              </w:tabs>
              <w:spacing w:before="60" w:after="60"/>
              <w:rPr>
                <w:rFonts w:cs="Arial"/>
                <w:color w:val="auto"/>
                <w:sz w:val="20"/>
                <w:szCs w:val="20"/>
              </w:rPr>
            </w:pPr>
            <w:r>
              <w:rPr>
                <w:rFonts w:cs="Arial"/>
                <w:color w:val="000000"/>
                <w:sz w:val="20"/>
                <w:szCs w:val="20"/>
              </w:rPr>
              <w:t>0.34</w:t>
            </w:r>
          </w:p>
        </w:tc>
      </w:tr>
      <w:tr w:rsidR="0097427E" w:rsidRPr="0015469A" w14:paraId="734D6901"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6F7A6074" w14:textId="77777777" w:rsidR="0097427E" w:rsidRPr="0015469A" w:rsidRDefault="0097427E" w:rsidP="00887453">
            <w:pPr>
              <w:spacing w:before="60" w:after="60"/>
              <w:rPr>
                <w:rFonts w:cs="Arial"/>
                <w:color w:val="auto"/>
                <w:sz w:val="20"/>
                <w:szCs w:val="20"/>
              </w:rPr>
            </w:pPr>
          </w:p>
        </w:tc>
        <w:tc>
          <w:tcPr>
            <w:tcW w:w="1397" w:type="dxa"/>
          </w:tcPr>
          <w:p w14:paraId="44D33754" w14:textId="77777777" w:rsidR="0097427E" w:rsidRPr="0015469A" w:rsidRDefault="0097427E" w:rsidP="00887453">
            <w:pPr>
              <w:spacing w:before="60" w:after="60"/>
              <w:rPr>
                <w:rFonts w:cs="Arial"/>
                <w:color w:val="auto"/>
                <w:sz w:val="20"/>
                <w:szCs w:val="20"/>
              </w:rPr>
            </w:pPr>
          </w:p>
        </w:tc>
        <w:tc>
          <w:tcPr>
            <w:tcW w:w="2481" w:type="dxa"/>
          </w:tcPr>
          <w:p w14:paraId="75FE6EA6"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3CE7CE0A"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23D839AA" w14:textId="77777777" w:rsidR="0097427E" w:rsidRPr="0015469A" w:rsidRDefault="0097427E" w:rsidP="00887453">
            <w:pPr>
              <w:tabs>
                <w:tab w:val="decimal" w:pos="750"/>
              </w:tabs>
              <w:spacing w:before="60" w:after="60"/>
              <w:rPr>
                <w:rFonts w:cs="Arial"/>
                <w:color w:val="auto"/>
                <w:sz w:val="20"/>
                <w:szCs w:val="20"/>
              </w:rPr>
            </w:pPr>
            <w:r w:rsidRPr="0015469A">
              <w:rPr>
                <w:rFonts w:cs="Arial"/>
                <w:color w:val="000000"/>
                <w:sz w:val="20"/>
                <w:szCs w:val="20"/>
              </w:rPr>
              <w:t>0.17</w:t>
            </w:r>
          </w:p>
        </w:tc>
        <w:tc>
          <w:tcPr>
            <w:tcW w:w="1411" w:type="dxa"/>
          </w:tcPr>
          <w:p w14:paraId="3928F50B" w14:textId="066B2F90" w:rsidR="0097427E" w:rsidRPr="0015469A" w:rsidRDefault="00E372D2" w:rsidP="00887453">
            <w:pPr>
              <w:tabs>
                <w:tab w:val="decimal" w:pos="750"/>
              </w:tabs>
              <w:spacing w:before="60" w:after="60"/>
              <w:rPr>
                <w:rFonts w:cs="Arial"/>
                <w:color w:val="auto"/>
                <w:sz w:val="20"/>
                <w:szCs w:val="20"/>
              </w:rPr>
            </w:pPr>
            <w:r>
              <w:rPr>
                <w:rFonts w:cs="Arial"/>
                <w:color w:val="000000"/>
                <w:sz w:val="20"/>
                <w:szCs w:val="20"/>
              </w:rPr>
              <w:t>0.34</w:t>
            </w:r>
          </w:p>
        </w:tc>
      </w:tr>
      <w:tr w:rsidR="0097427E" w:rsidRPr="0015469A" w14:paraId="3435D2C9"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7BC24C89" w14:textId="77777777" w:rsidR="0097427E" w:rsidRPr="0015469A" w:rsidRDefault="0097427E" w:rsidP="00887453">
            <w:pPr>
              <w:spacing w:before="60" w:after="60"/>
              <w:rPr>
                <w:rFonts w:cs="Arial"/>
                <w:color w:val="auto"/>
                <w:sz w:val="20"/>
                <w:szCs w:val="20"/>
              </w:rPr>
            </w:pPr>
          </w:p>
        </w:tc>
        <w:tc>
          <w:tcPr>
            <w:tcW w:w="1397" w:type="dxa"/>
          </w:tcPr>
          <w:p w14:paraId="67FF29AA" w14:textId="77777777" w:rsidR="0097427E" w:rsidRPr="0015469A" w:rsidRDefault="0097427E" w:rsidP="00887453">
            <w:pPr>
              <w:spacing w:before="60" w:after="60"/>
              <w:rPr>
                <w:rFonts w:cs="Arial"/>
                <w:color w:val="auto"/>
                <w:sz w:val="20"/>
                <w:szCs w:val="20"/>
              </w:rPr>
            </w:pPr>
          </w:p>
        </w:tc>
        <w:tc>
          <w:tcPr>
            <w:tcW w:w="2481" w:type="dxa"/>
          </w:tcPr>
          <w:p w14:paraId="42EE4F60"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4B67EFF0"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6D6CB0C3" w14:textId="27D42A0C" w:rsidR="0097427E" w:rsidRPr="0015469A" w:rsidRDefault="00C175E1" w:rsidP="00887453">
            <w:pPr>
              <w:tabs>
                <w:tab w:val="decimal" w:pos="750"/>
              </w:tabs>
              <w:spacing w:before="60" w:after="60"/>
              <w:rPr>
                <w:rFonts w:cs="Arial"/>
                <w:color w:val="auto"/>
                <w:sz w:val="20"/>
                <w:szCs w:val="20"/>
              </w:rPr>
            </w:pPr>
            <w:r>
              <w:rPr>
                <w:rFonts w:cs="Arial"/>
                <w:color w:val="auto"/>
                <w:sz w:val="20"/>
                <w:szCs w:val="20"/>
              </w:rPr>
              <w:t>0.091</w:t>
            </w:r>
          </w:p>
        </w:tc>
        <w:tc>
          <w:tcPr>
            <w:tcW w:w="1411" w:type="dxa"/>
          </w:tcPr>
          <w:p w14:paraId="7DC61C3A" w14:textId="421D34BA" w:rsidR="0097427E" w:rsidRPr="0015469A" w:rsidRDefault="00E372D2" w:rsidP="00887453">
            <w:pPr>
              <w:tabs>
                <w:tab w:val="decimal" w:pos="750"/>
              </w:tabs>
              <w:spacing w:before="60" w:after="60"/>
              <w:rPr>
                <w:rFonts w:cs="Arial"/>
                <w:color w:val="auto"/>
                <w:sz w:val="20"/>
                <w:szCs w:val="20"/>
              </w:rPr>
            </w:pPr>
            <w:r>
              <w:rPr>
                <w:rFonts w:cs="Arial"/>
                <w:color w:val="auto"/>
                <w:sz w:val="20"/>
                <w:szCs w:val="20"/>
              </w:rPr>
              <w:t>0.18</w:t>
            </w:r>
          </w:p>
        </w:tc>
      </w:tr>
      <w:tr w:rsidR="0097427E" w:rsidRPr="0015469A" w14:paraId="09261D12"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0FE42A49" w14:textId="77777777" w:rsidR="0097427E" w:rsidRPr="0015469A" w:rsidRDefault="0097427E" w:rsidP="00887453">
            <w:pPr>
              <w:spacing w:before="60" w:after="60"/>
              <w:rPr>
                <w:rFonts w:cs="Arial"/>
                <w:color w:val="auto"/>
                <w:sz w:val="20"/>
                <w:szCs w:val="20"/>
              </w:rPr>
            </w:pPr>
          </w:p>
        </w:tc>
        <w:tc>
          <w:tcPr>
            <w:tcW w:w="1397" w:type="dxa"/>
          </w:tcPr>
          <w:p w14:paraId="3F36EE03" w14:textId="77777777" w:rsidR="0097427E" w:rsidRPr="0015469A" w:rsidRDefault="0097427E" w:rsidP="00887453">
            <w:pPr>
              <w:spacing w:before="60" w:after="60"/>
              <w:rPr>
                <w:rFonts w:cs="Arial"/>
                <w:color w:val="auto"/>
                <w:sz w:val="20"/>
                <w:szCs w:val="20"/>
              </w:rPr>
            </w:pPr>
          </w:p>
        </w:tc>
        <w:tc>
          <w:tcPr>
            <w:tcW w:w="2481" w:type="dxa"/>
          </w:tcPr>
          <w:p w14:paraId="3955CB79" w14:textId="77777777" w:rsidR="0097427E" w:rsidRPr="0015469A" w:rsidRDefault="0097427E" w:rsidP="00887453">
            <w:pPr>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2B6BA764" w14:textId="77777777" w:rsidR="0097427E" w:rsidRPr="0015469A" w:rsidRDefault="0097427E" w:rsidP="00887453">
            <w:pPr>
              <w:tabs>
                <w:tab w:val="decimal" w:pos="599"/>
              </w:tabs>
              <w:spacing w:before="60" w:after="60"/>
              <w:rPr>
                <w:rFonts w:cs="Arial"/>
                <w:color w:val="auto"/>
                <w:sz w:val="20"/>
                <w:szCs w:val="20"/>
              </w:rPr>
            </w:pPr>
            <w:r w:rsidRPr="0015469A">
              <w:rPr>
                <w:rFonts w:cs="Arial"/>
                <w:color w:val="auto"/>
                <w:sz w:val="20"/>
                <w:szCs w:val="20"/>
              </w:rPr>
              <w:t>99</w:t>
            </w:r>
          </w:p>
        </w:tc>
        <w:tc>
          <w:tcPr>
            <w:tcW w:w="1410" w:type="dxa"/>
          </w:tcPr>
          <w:p w14:paraId="5C017746" w14:textId="38D3808C" w:rsidR="0097427E" w:rsidRPr="0015469A" w:rsidRDefault="00C175E1" w:rsidP="00887453">
            <w:pPr>
              <w:tabs>
                <w:tab w:val="decimal" w:pos="750"/>
              </w:tabs>
              <w:spacing w:before="60" w:after="60"/>
              <w:rPr>
                <w:rFonts w:cs="Arial"/>
                <w:color w:val="auto"/>
                <w:sz w:val="20"/>
                <w:szCs w:val="20"/>
              </w:rPr>
            </w:pPr>
            <w:r>
              <w:rPr>
                <w:rFonts w:cs="Arial"/>
                <w:color w:val="auto"/>
                <w:sz w:val="20"/>
                <w:szCs w:val="20"/>
              </w:rPr>
              <w:t>0.091</w:t>
            </w:r>
          </w:p>
        </w:tc>
        <w:tc>
          <w:tcPr>
            <w:tcW w:w="1411" w:type="dxa"/>
          </w:tcPr>
          <w:p w14:paraId="3F49B15D" w14:textId="70B1853A" w:rsidR="0097427E" w:rsidRPr="0015469A" w:rsidRDefault="00E372D2" w:rsidP="00887453">
            <w:pPr>
              <w:tabs>
                <w:tab w:val="decimal" w:pos="750"/>
              </w:tabs>
              <w:spacing w:before="60" w:after="60"/>
              <w:rPr>
                <w:rFonts w:cs="Arial"/>
                <w:color w:val="auto"/>
                <w:sz w:val="20"/>
                <w:szCs w:val="20"/>
              </w:rPr>
            </w:pPr>
            <w:r>
              <w:rPr>
                <w:rFonts w:cs="Arial"/>
                <w:color w:val="auto"/>
                <w:sz w:val="20"/>
                <w:szCs w:val="20"/>
              </w:rPr>
              <w:t>0.18</w:t>
            </w:r>
          </w:p>
        </w:tc>
      </w:tr>
      <w:tr w:rsidR="0097427E" w:rsidRPr="0015469A" w14:paraId="024F7FEC"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1635FEAD"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New Zealand</w:t>
            </w:r>
          </w:p>
        </w:tc>
        <w:tc>
          <w:tcPr>
            <w:tcW w:w="1397" w:type="dxa"/>
          </w:tcPr>
          <w:p w14:paraId="30780319" w14:textId="77777777" w:rsidR="0097427E" w:rsidRPr="0015469A" w:rsidRDefault="0097427E" w:rsidP="00887453">
            <w:pPr>
              <w:keepNext/>
              <w:keepLines/>
              <w:spacing w:before="60" w:after="60"/>
              <w:rPr>
                <w:rFonts w:cs="Arial"/>
                <w:color w:val="auto"/>
                <w:sz w:val="20"/>
                <w:szCs w:val="20"/>
              </w:rPr>
            </w:pPr>
            <w:r w:rsidRPr="0015469A">
              <w:rPr>
                <w:rFonts w:cs="Arial"/>
                <w:color w:val="auto"/>
                <w:sz w:val="20"/>
                <w:szCs w:val="20"/>
              </w:rPr>
              <w:t>15 years and above</w:t>
            </w:r>
            <w:r w:rsidRPr="0015469A">
              <w:rPr>
                <w:rFonts w:cs="Arial"/>
                <w:color w:val="auto"/>
                <w:sz w:val="20"/>
                <w:szCs w:val="20"/>
                <w:vertAlign w:val="superscript"/>
              </w:rPr>
              <w:sym w:font="Wingdings 3" w:char="F073"/>
            </w:r>
          </w:p>
        </w:tc>
        <w:tc>
          <w:tcPr>
            <w:tcW w:w="2481" w:type="dxa"/>
          </w:tcPr>
          <w:p w14:paraId="071B9E2B"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w:t>
            </w:r>
          </w:p>
        </w:tc>
        <w:tc>
          <w:tcPr>
            <w:tcW w:w="1258" w:type="dxa"/>
          </w:tcPr>
          <w:p w14:paraId="498F810E"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1.1</w:t>
            </w:r>
          </w:p>
        </w:tc>
        <w:tc>
          <w:tcPr>
            <w:tcW w:w="1410" w:type="dxa"/>
          </w:tcPr>
          <w:p w14:paraId="2156E116"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0.18</w:t>
            </w:r>
          </w:p>
        </w:tc>
        <w:tc>
          <w:tcPr>
            <w:tcW w:w="1411" w:type="dxa"/>
          </w:tcPr>
          <w:p w14:paraId="1D05CB28"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0.30</w:t>
            </w:r>
          </w:p>
        </w:tc>
      </w:tr>
      <w:tr w:rsidR="0097427E" w:rsidRPr="0015469A" w14:paraId="2D65C28D"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3EEB31AA" w14:textId="77777777" w:rsidR="0097427E" w:rsidRPr="0015469A" w:rsidRDefault="0097427E" w:rsidP="00887453">
            <w:pPr>
              <w:keepNext/>
              <w:keepLines/>
              <w:spacing w:before="60" w:after="60"/>
              <w:rPr>
                <w:rFonts w:cs="Arial"/>
                <w:color w:val="auto"/>
                <w:sz w:val="20"/>
                <w:szCs w:val="20"/>
              </w:rPr>
            </w:pPr>
          </w:p>
        </w:tc>
        <w:tc>
          <w:tcPr>
            <w:tcW w:w="1397" w:type="dxa"/>
          </w:tcPr>
          <w:p w14:paraId="5FDD11B0" w14:textId="77777777" w:rsidR="0097427E" w:rsidRPr="0015469A" w:rsidRDefault="0097427E" w:rsidP="00887453">
            <w:pPr>
              <w:keepNext/>
              <w:keepLines/>
              <w:spacing w:before="60" w:after="60"/>
              <w:rPr>
                <w:rFonts w:cs="Arial"/>
                <w:color w:val="auto"/>
                <w:sz w:val="20"/>
                <w:szCs w:val="20"/>
              </w:rPr>
            </w:pPr>
          </w:p>
        </w:tc>
        <w:tc>
          <w:tcPr>
            <w:tcW w:w="2481" w:type="dxa"/>
          </w:tcPr>
          <w:p w14:paraId="3EFC6FFE"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258" w:type="dxa"/>
          </w:tcPr>
          <w:p w14:paraId="7561420E"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2F300AAC" w14:textId="381149F2" w:rsidR="0097427E" w:rsidRPr="0015469A" w:rsidRDefault="00E372D2" w:rsidP="00887453">
            <w:pPr>
              <w:keepNext/>
              <w:keepLines/>
              <w:tabs>
                <w:tab w:val="decimal" w:pos="750"/>
              </w:tabs>
              <w:spacing w:before="60" w:after="60"/>
              <w:rPr>
                <w:rFonts w:cs="Arial"/>
                <w:color w:val="auto"/>
                <w:sz w:val="20"/>
                <w:szCs w:val="20"/>
              </w:rPr>
            </w:pPr>
            <w:r>
              <w:rPr>
                <w:rFonts w:cs="Arial"/>
                <w:color w:val="000000"/>
                <w:sz w:val="20"/>
                <w:szCs w:val="20"/>
              </w:rPr>
              <w:t>0.078</w:t>
            </w:r>
          </w:p>
        </w:tc>
        <w:tc>
          <w:tcPr>
            <w:tcW w:w="1411" w:type="dxa"/>
          </w:tcPr>
          <w:p w14:paraId="61163E6D"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0.15</w:t>
            </w:r>
          </w:p>
        </w:tc>
      </w:tr>
      <w:tr w:rsidR="0097427E" w:rsidRPr="0015469A" w14:paraId="2C6DD192"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33E564BA" w14:textId="77777777" w:rsidR="0097427E" w:rsidRPr="0015469A" w:rsidRDefault="0097427E" w:rsidP="00887453">
            <w:pPr>
              <w:keepNext/>
              <w:keepLines/>
              <w:spacing w:before="60" w:after="60"/>
              <w:rPr>
                <w:rFonts w:cs="Arial"/>
                <w:color w:val="auto"/>
                <w:sz w:val="20"/>
                <w:szCs w:val="20"/>
              </w:rPr>
            </w:pPr>
          </w:p>
        </w:tc>
        <w:tc>
          <w:tcPr>
            <w:tcW w:w="1397" w:type="dxa"/>
          </w:tcPr>
          <w:p w14:paraId="025614AE" w14:textId="77777777" w:rsidR="0097427E" w:rsidRPr="0015469A" w:rsidRDefault="0097427E" w:rsidP="00887453">
            <w:pPr>
              <w:keepNext/>
              <w:keepLines/>
              <w:spacing w:before="60" w:after="60"/>
              <w:rPr>
                <w:rFonts w:cs="Arial"/>
                <w:color w:val="auto"/>
                <w:sz w:val="20"/>
                <w:szCs w:val="20"/>
              </w:rPr>
            </w:pPr>
          </w:p>
        </w:tc>
        <w:tc>
          <w:tcPr>
            <w:tcW w:w="2481" w:type="dxa"/>
          </w:tcPr>
          <w:p w14:paraId="3B641A46"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258" w:type="dxa"/>
          </w:tcPr>
          <w:p w14:paraId="0A50B8B7"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55CB0152" w14:textId="0B0554DB" w:rsidR="0097427E" w:rsidRPr="0015469A" w:rsidRDefault="00E372D2" w:rsidP="00E372D2">
            <w:pPr>
              <w:keepNext/>
              <w:keepLines/>
              <w:tabs>
                <w:tab w:val="decimal" w:pos="750"/>
              </w:tabs>
              <w:spacing w:before="60" w:after="60"/>
              <w:rPr>
                <w:rFonts w:cs="Arial"/>
                <w:color w:val="auto"/>
                <w:sz w:val="20"/>
                <w:szCs w:val="20"/>
              </w:rPr>
            </w:pPr>
            <w:r>
              <w:rPr>
                <w:rFonts w:cs="Arial"/>
                <w:color w:val="000000"/>
                <w:sz w:val="20"/>
                <w:szCs w:val="20"/>
              </w:rPr>
              <w:t>0.080</w:t>
            </w:r>
          </w:p>
        </w:tc>
        <w:tc>
          <w:tcPr>
            <w:tcW w:w="1411" w:type="dxa"/>
          </w:tcPr>
          <w:p w14:paraId="67FE9382" w14:textId="77777777"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000000"/>
                <w:sz w:val="20"/>
                <w:szCs w:val="20"/>
              </w:rPr>
              <w:t>0.16</w:t>
            </w:r>
          </w:p>
        </w:tc>
      </w:tr>
      <w:tr w:rsidR="0097427E" w:rsidRPr="0015469A" w14:paraId="70C41D0D" w14:textId="77777777" w:rsidTr="00B75459">
        <w:trPr>
          <w:cnfStyle w:val="000000100000" w:firstRow="0" w:lastRow="0" w:firstColumn="0" w:lastColumn="0" w:oddVBand="0" w:evenVBand="0" w:oddHBand="1" w:evenHBand="0" w:firstRowFirstColumn="0" w:firstRowLastColumn="0" w:lastRowFirstColumn="0" w:lastRowLastColumn="0"/>
        </w:trPr>
        <w:tc>
          <w:tcPr>
            <w:tcW w:w="1541" w:type="dxa"/>
          </w:tcPr>
          <w:p w14:paraId="0C0DA4BC" w14:textId="77777777" w:rsidR="0097427E" w:rsidRPr="0015469A" w:rsidRDefault="0097427E" w:rsidP="00887453">
            <w:pPr>
              <w:keepNext/>
              <w:keepLines/>
              <w:spacing w:before="60" w:after="60"/>
              <w:rPr>
                <w:rFonts w:cs="Arial"/>
                <w:color w:val="auto"/>
                <w:sz w:val="20"/>
                <w:szCs w:val="20"/>
              </w:rPr>
            </w:pPr>
          </w:p>
        </w:tc>
        <w:tc>
          <w:tcPr>
            <w:tcW w:w="1397" w:type="dxa"/>
          </w:tcPr>
          <w:p w14:paraId="027579D9" w14:textId="77777777" w:rsidR="0097427E" w:rsidRPr="0015469A" w:rsidRDefault="0097427E" w:rsidP="00887453">
            <w:pPr>
              <w:keepNext/>
              <w:keepLines/>
              <w:spacing w:before="60" w:after="60"/>
              <w:rPr>
                <w:rFonts w:cs="Arial"/>
                <w:color w:val="auto"/>
                <w:sz w:val="20"/>
                <w:szCs w:val="20"/>
              </w:rPr>
            </w:pPr>
          </w:p>
        </w:tc>
        <w:tc>
          <w:tcPr>
            <w:tcW w:w="2481" w:type="dxa"/>
          </w:tcPr>
          <w:p w14:paraId="6FD01A20"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258" w:type="dxa"/>
          </w:tcPr>
          <w:p w14:paraId="1D87227C"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6442A5F8" w14:textId="7899C3DE" w:rsidR="0097427E" w:rsidRPr="0015469A" w:rsidRDefault="00E372D2" w:rsidP="00887453">
            <w:pPr>
              <w:keepNext/>
              <w:keepLines/>
              <w:tabs>
                <w:tab w:val="decimal" w:pos="750"/>
              </w:tabs>
              <w:spacing w:before="60" w:after="60"/>
              <w:rPr>
                <w:rFonts w:cs="Arial"/>
                <w:color w:val="auto"/>
                <w:sz w:val="20"/>
                <w:szCs w:val="20"/>
              </w:rPr>
            </w:pPr>
            <w:r>
              <w:rPr>
                <w:rFonts w:cs="Arial"/>
                <w:color w:val="auto"/>
                <w:sz w:val="20"/>
                <w:szCs w:val="20"/>
              </w:rPr>
              <w:t>0.041</w:t>
            </w:r>
          </w:p>
        </w:tc>
        <w:tc>
          <w:tcPr>
            <w:tcW w:w="1411" w:type="dxa"/>
          </w:tcPr>
          <w:p w14:paraId="6BE5FA66" w14:textId="20D4ECFF" w:rsidR="0097427E" w:rsidRPr="0015469A" w:rsidRDefault="0097427E" w:rsidP="00887453">
            <w:pPr>
              <w:keepNext/>
              <w:keepLines/>
              <w:tabs>
                <w:tab w:val="decimal" w:pos="750"/>
              </w:tabs>
              <w:spacing w:before="60" w:after="60"/>
              <w:rPr>
                <w:rFonts w:cs="Arial"/>
                <w:color w:val="auto"/>
                <w:sz w:val="20"/>
                <w:szCs w:val="20"/>
              </w:rPr>
            </w:pPr>
            <w:r w:rsidRPr="0015469A">
              <w:rPr>
                <w:rFonts w:cs="Arial"/>
                <w:color w:val="auto"/>
                <w:sz w:val="20"/>
                <w:szCs w:val="20"/>
              </w:rPr>
              <w:t>0</w:t>
            </w:r>
            <w:r w:rsidR="00E372D2">
              <w:rPr>
                <w:rFonts w:cs="Arial"/>
                <w:color w:val="auto"/>
                <w:sz w:val="20"/>
                <w:szCs w:val="20"/>
              </w:rPr>
              <w:t>.083</w:t>
            </w:r>
          </w:p>
        </w:tc>
      </w:tr>
      <w:tr w:rsidR="0097427E" w:rsidRPr="0015469A" w14:paraId="1E63010A" w14:textId="77777777" w:rsidTr="00B75459">
        <w:trPr>
          <w:cnfStyle w:val="000000010000" w:firstRow="0" w:lastRow="0" w:firstColumn="0" w:lastColumn="0" w:oddVBand="0" w:evenVBand="0" w:oddHBand="0" w:evenHBand="1" w:firstRowFirstColumn="0" w:firstRowLastColumn="0" w:lastRowFirstColumn="0" w:lastRowLastColumn="0"/>
        </w:trPr>
        <w:tc>
          <w:tcPr>
            <w:tcW w:w="1541" w:type="dxa"/>
          </w:tcPr>
          <w:p w14:paraId="2E9B819F" w14:textId="77777777" w:rsidR="0097427E" w:rsidRPr="0015469A" w:rsidRDefault="0097427E" w:rsidP="00887453">
            <w:pPr>
              <w:keepNext/>
              <w:keepLines/>
              <w:spacing w:before="60" w:after="60"/>
              <w:rPr>
                <w:rFonts w:cs="Arial"/>
                <w:color w:val="auto"/>
                <w:sz w:val="20"/>
                <w:szCs w:val="20"/>
              </w:rPr>
            </w:pPr>
          </w:p>
        </w:tc>
        <w:tc>
          <w:tcPr>
            <w:tcW w:w="1397" w:type="dxa"/>
          </w:tcPr>
          <w:p w14:paraId="1EC87B05" w14:textId="77777777" w:rsidR="0097427E" w:rsidRPr="0015469A" w:rsidRDefault="0097427E" w:rsidP="00887453">
            <w:pPr>
              <w:keepNext/>
              <w:keepLines/>
              <w:spacing w:before="60" w:after="60"/>
              <w:rPr>
                <w:rFonts w:cs="Arial"/>
                <w:color w:val="auto"/>
                <w:sz w:val="20"/>
                <w:szCs w:val="20"/>
              </w:rPr>
            </w:pPr>
          </w:p>
        </w:tc>
        <w:tc>
          <w:tcPr>
            <w:tcW w:w="2481" w:type="dxa"/>
          </w:tcPr>
          <w:p w14:paraId="0C242285" w14:textId="77777777" w:rsidR="0097427E" w:rsidRPr="0015469A" w:rsidRDefault="0097427E" w:rsidP="00887453">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258" w:type="dxa"/>
          </w:tcPr>
          <w:p w14:paraId="614D0887" w14:textId="77777777" w:rsidR="0097427E" w:rsidRPr="0015469A" w:rsidRDefault="0097427E" w:rsidP="00887453">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410" w:type="dxa"/>
          </w:tcPr>
          <w:p w14:paraId="634D166E" w14:textId="23266FEF" w:rsidR="0097427E" w:rsidRPr="0015469A" w:rsidRDefault="00E372D2" w:rsidP="00887453">
            <w:pPr>
              <w:keepNext/>
              <w:keepLines/>
              <w:tabs>
                <w:tab w:val="decimal" w:pos="750"/>
              </w:tabs>
              <w:spacing w:before="60" w:after="60"/>
              <w:rPr>
                <w:rFonts w:cs="Arial"/>
                <w:color w:val="auto"/>
                <w:sz w:val="20"/>
                <w:szCs w:val="20"/>
              </w:rPr>
            </w:pPr>
            <w:r>
              <w:rPr>
                <w:rFonts w:cs="Arial"/>
                <w:color w:val="auto"/>
                <w:sz w:val="20"/>
                <w:szCs w:val="20"/>
              </w:rPr>
              <w:t>0.043</w:t>
            </w:r>
          </w:p>
        </w:tc>
        <w:tc>
          <w:tcPr>
            <w:tcW w:w="1411" w:type="dxa"/>
          </w:tcPr>
          <w:p w14:paraId="1F626FAD" w14:textId="463A785C" w:rsidR="0097427E" w:rsidRPr="0015469A" w:rsidRDefault="00E372D2" w:rsidP="00887453">
            <w:pPr>
              <w:keepNext/>
              <w:keepLines/>
              <w:tabs>
                <w:tab w:val="decimal" w:pos="750"/>
              </w:tabs>
              <w:spacing w:before="60" w:after="60"/>
              <w:rPr>
                <w:rFonts w:cs="Arial"/>
                <w:color w:val="auto"/>
                <w:sz w:val="20"/>
                <w:szCs w:val="20"/>
              </w:rPr>
            </w:pPr>
            <w:r>
              <w:rPr>
                <w:rFonts w:cs="Arial"/>
                <w:color w:val="auto"/>
                <w:sz w:val="20"/>
                <w:szCs w:val="20"/>
              </w:rPr>
              <w:t>0.085</w:t>
            </w:r>
          </w:p>
        </w:tc>
      </w:tr>
    </w:tbl>
    <w:p w14:paraId="74BDB24F" w14:textId="1527ABA5" w:rsidR="001F7442" w:rsidRPr="001F7442" w:rsidRDefault="001F7442" w:rsidP="00050D8E">
      <w:pPr>
        <w:ind w:left="567" w:hanging="567"/>
        <w:rPr>
          <w:sz w:val="16"/>
          <w:szCs w:val="16"/>
        </w:rPr>
      </w:pPr>
      <w:r w:rsidRPr="001F7442">
        <w:rPr>
          <w:rFonts w:cs="Arial"/>
          <w:sz w:val="16"/>
          <w:szCs w:val="16"/>
        </w:rPr>
        <w:sym w:font="Wingdings" w:char="F074"/>
      </w:r>
      <w:r w:rsidRPr="001F7442">
        <w:rPr>
          <w:sz w:val="16"/>
          <w:szCs w:val="16"/>
        </w:rPr>
        <w:tab/>
      </w:r>
      <w:r w:rsidR="005575D5" w:rsidRPr="005575D5">
        <w:rPr>
          <w:sz w:val="16"/>
          <w:szCs w:val="16"/>
        </w:rPr>
        <w:t>Consumers as a % of total respondents</w:t>
      </w:r>
      <w:r w:rsidR="005575D5">
        <w:rPr>
          <w:sz w:val="16"/>
          <w:szCs w:val="16"/>
        </w:rPr>
        <w:t xml:space="preserve">. A consumer is a </w:t>
      </w:r>
      <w:r w:rsidR="005575D5" w:rsidRPr="005575D5">
        <w:rPr>
          <w:sz w:val="16"/>
          <w:szCs w:val="16"/>
        </w:rPr>
        <w:t xml:space="preserve">respondent in the </w:t>
      </w:r>
      <w:r w:rsidR="005575D5">
        <w:rPr>
          <w:sz w:val="16"/>
          <w:szCs w:val="16"/>
        </w:rPr>
        <w:t>national nutrition survey</w:t>
      </w:r>
      <w:r w:rsidR="005575D5" w:rsidRPr="005575D5">
        <w:rPr>
          <w:sz w:val="16"/>
          <w:szCs w:val="16"/>
        </w:rPr>
        <w:t xml:space="preserve"> who</w:t>
      </w:r>
      <w:r w:rsidR="005575D5">
        <w:rPr>
          <w:sz w:val="16"/>
          <w:szCs w:val="16"/>
        </w:rPr>
        <w:t xml:space="preserve"> consumes a food containing carnosic acid plus carnosol</w:t>
      </w:r>
      <w:r w:rsidR="00050D8E">
        <w:rPr>
          <w:sz w:val="16"/>
          <w:szCs w:val="16"/>
        </w:rPr>
        <w:t>. A respondent is anyone in a national nutrition survey, irrespective of whether they consume a food that contains carnosic acid plus carnosol or not</w:t>
      </w:r>
    </w:p>
    <w:p w14:paraId="572B9128" w14:textId="77777777" w:rsidR="0097427E" w:rsidRPr="001F034B" w:rsidRDefault="0097427E" w:rsidP="0097427E">
      <w:pPr>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3D6C9209" w14:textId="77777777" w:rsidR="0097427E" w:rsidRPr="00E009E2" w:rsidRDefault="0097427E" w:rsidP="0097427E">
      <w:pPr>
        <w:rPr>
          <w:highlight w:val="yellow"/>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p>
    <w:p w14:paraId="5F97715B" w14:textId="77777777" w:rsidR="0097427E" w:rsidRDefault="0097427E">
      <w:pPr>
        <w:widowControl/>
      </w:pPr>
      <w:r>
        <w:br w:type="page"/>
      </w:r>
    </w:p>
    <w:p w14:paraId="4E0BC114" w14:textId="73AE9E52" w:rsidR="0097427E" w:rsidRDefault="00ED7176" w:rsidP="005B5EED">
      <w:pPr>
        <w:pStyle w:val="Heading5"/>
        <w:widowControl/>
        <w:spacing w:after="120"/>
      </w:pPr>
      <w:r>
        <w:lastRenderedPageBreak/>
        <w:t>4.3.1.2</w:t>
      </w:r>
      <w:r>
        <w:tab/>
      </w:r>
      <w:r w:rsidR="0097427E">
        <w:t>MPL scenarios</w:t>
      </w:r>
    </w:p>
    <w:p w14:paraId="33FAF7C1" w14:textId="27CC9A3F" w:rsidR="0097427E" w:rsidRDefault="0097427E" w:rsidP="0097427E">
      <w:r>
        <w:t xml:space="preserve">Dietary exposures increase from the </w:t>
      </w:r>
      <w:r>
        <w:rPr>
          <w:i/>
        </w:rPr>
        <w:t>N</w:t>
      </w:r>
      <w:r w:rsidRPr="00127356">
        <w:rPr>
          <w:i/>
        </w:rPr>
        <w:t>aturally</w:t>
      </w:r>
      <w:r>
        <w:rPr>
          <w:i/>
        </w:rPr>
        <w:t>-</w:t>
      </w:r>
      <w:r w:rsidRPr="00127356">
        <w:rPr>
          <w:i/>
        </w:rPr>
        <w:t>occurring</w:t>
      </w:r>
      <w:r>
        <w:t xml:space="preserve"> scenario under the </w:t>
      </w:r>
      <w:r>
        <w:rPr>
          <w:i/>
        </w:rPr>
        <w:t>Added rosemary extract only_MPL</w:t>
      </w:r>
      <w:r>
        <w:t xml:space="preserve"> and </w:t>
      </w:r>
      <w:r>
        <w:rPr>
          <w:i/>
        </w:rPr>
        <w:t>Naturally-occurring plus added rosemary extract_MPL</w:t>
      </w:r>
      <w:r>
        <w:t xml:space="preserve"> scenarios, with all Australians aged 2 years and above being exposed to </w:t>
      </w:r>
      <w:r w:rsidR="0048026B">
        <w:t>carnosic acid plus carnosol</w:t>
      </w:r>
      <w:r>
        <w:t xml:space="preserve"> in these scenarios.</w:t>
      </w:r>
    </w:p>
    <w:p w14:paraId="5E8A861E" w14:textId="77777777" w:rsidR="00667AAD" w:rsidRDefault="00667AAD" w:rsidP="0097427E"/>
    <w:p w14:paraId="0CC3D0AC" w14:textId="7B8052FA" w:rsidR="0097427E" w:rsidRDefault="0097427E" w:rsidP="0097427E">
      <w:r>
        <w:t xml:space="preserve">For the </w:t>
      </w:r>
      <w:r>
        <w:rPr>
          <w:i/>
        </w:rPr>
        <w:t>Added rosemary extract only_MPL</w:t>
      </w:r>
      <w:r>
        <w:t xml:space="preserve"> scenario, mean and P90 cons</w:t>
      </w:r>
      <w:r w:rsidR="0053098C">
        <w:t>umer dietary exposures are 0.084</w:t>
      </w:r>
      <w:r>
        <w:t xml:space="preserve"> mg/kg bw/day and 0.18 mg/kg bw/day respectively. For the </w:t>
      </w:r>
      <w:r>
        <w:rPr>
          <w:i/>
        </w:rPr>
        <w:t>Naturally-occurring plus added rosemary extract_MPL</w:t>
      </w:r>
      <w:r>
        <w:t xml:space="preserve"> scenario, mean and P90 cons</w:t>
      </w:r>
      <w:r w:rsidR="0053098C">
        <w:t>umer dietary exposures are 0.086</w:t>
      </w:r>
      <w:r>
        <w:t> mg/kg bw/day and 0.18 mg/kg bw/day respectively.</w:t>
      </w:r>
      <w:r w:rsidR="0001621B">
        <w:t xml:space="preserve"> </w:t>
      </w:r>
      <w:r w:rsidR="003B5401">
        <w:t xml:space="preserve">The similarity in the dietary exposures </w:t>
      </w:r>
      <w:r w:rsidR="007B7417">
        <w:t xml:space="preserve">(i.e. </w:t>
      </w:r>
      <w:r w:rsidR="003B5401">
        <w:t>with and without the inclusion of the contribution of naturally-occurring carnosic acid plus carnosol</w:t>
      </w:r>
      <w:r w:rsidR="007B7417">
        <w:t xml:space="preserve"> from rosemary leaves)</w:t>
      </w:r>
      <w:r w:rsidR="003B5401">
        <w:t xml:space="preserve"> confirms the small contribution of rosemary leaves to carnosic acid plus carnosol dietary exposures. </w:t>
      </w:r>
      <w:r w:rsidRPr="0053098C">
        <w:t xml:space="preserve">See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4C731A" w:rsidRPr="00761133">
        <w:t xml:space="preserve">Figure </w:t>
      </w:r>
      <w:r w:rsidR="004C731A" w:rsidRPr="00761133">
        <w:rPr>
          <w:noProof/>
        </w:rPr>
        <w:t>4</w:t>
      </w:r>
      <w:r w:rsidR="004C731A" w:rsidRPr="00761133">
        <w:t xml:space="preserve"> </w:t>
      </w:r>
      <w:r w:rsidR="004C731A">
        <w:rPr>
          <w:noProof/>
        </w:rPr>
        <w:t>2</w:t>
      </w:r>
      <w:r w:rsidRPr="00AE2AD0">
        <w:fldChar w:fldCharType="end"/>
      </w:r>
      <w:r w:rsidRPr="00AE2AD0">
        <w:t xml:space="preserve"> for details.</w:t>
      </w:r>
    </w:p>
    <w:p w14:paraId="4F290696" w14:textId="7B0DF22F" w:rsidR="0097427E" w:rsidRDefault="00ED7176" w:rsidP="005B5EED">
      <w:pPr>
        <w:pStyle w:val="Heading5"/>
        <w:widowControl/>
        <w:spacing w:after="120"/>
      </w:pPr>
      <w:r>
        <w:t>4.3.1.3</w:t>
      </w:r>
      <w:r>
        <w:tab/>
      </w:r>
      <w:r w:rsidR="0097427E">
        <w:t>Usual Use scenarios</w:t>
      </w:r>
    </w:p>
    <w:p w14:paraId="73EE99DB" w14:textId="23568CBA" w:rsidR="0097427E" w:rsidRDefault="0097427E" w:rsidP="0097427E">
      <w:r w:rsidRPr="00AE2AD0">
        <w:t>Dietary exposures decrease</w:t>
      </w:r>
      <w:r>
        <w:t xml:space="preserve"> from the MPL scenarios</w:t>
      </w:r>
      <w:r w:rsidRPr="00AE2AD0">
        <w:t xml:space="preserve"> under the </w:t>
      </w:r>
      <w:r w:rsidRPr="00AE2AD0">
        <w:rPr>
          <w:i/>
        </w:rPr>
        <w:t>Added rosemary extract only_Usual Use</w:t>
      </w:r>
      <w:r w:rsidRPr="00AE2AD0">
        <w:t xml:space="preserve"> and </w:t>
      </w:r>
      <w:r w:rsidRPr="00AE2AD0">
        <w:rPr>
          <w:i/>
        </w:rPr>
        <w:t>Naturally-occurring plus added rosemary extract_Usual Use</w:t>
      </w:r>
      <w:r w:rsidRPr="00AE2AD0">
        <w:t xml:space="preserve"> scenarios, with all Australians aged 2 years and above being exposed to </w:t>
      </w:r>
      <w:r w:rsidR="0048026B">
        <w:t>carnosic acid plus carnosol</w:t>
      </w:r>
      <w:r>
        <w:t xml:space="preserve"> in these scenarios.</w:t>
      </w:r>
    </w:p>
    <w:p w14:paraId="56767E81" w14:textId="77777777" w:rsidR="00667AAD" w:rsidRDefault="00667AAD" w:rsidP="0097427E"/>
    <w:p w14:paraId="1B1A8448" w14:textId="1E2AA72F" w:rsidR="0097427E" w:rsidRDefault="0097427E" w:rsidP="0097427E">
      <w:r w:rsidRPr="00AE2AD0">
        <w:t xml:space="preserve">For the </w:t>
      </w:r>
      <w:r w:rsidRPr="00AE2AD0">
        <w:rPr>
          <w:i/>
        </w:rPr>
        <w:t>Added rosemary extract only_Usual Use</w:t>
      </w:r>
      <w:r w:rsidRPr="00AE2AD0">
        <w:t xml:space="preserve"> scenario, mean and P90 cons</w:t>
      </w:r>
      <w:r w:rsidR="0053098C">
        <w:t>umer dietary exposures are 0.043 mg/kg bw/day and 0.093</w:t>
      </w:r>
      <w:r w:rsidRPr="00AE2AD0">
        <w:t xml:space="preserve"> mg/kg bw/day respectively. For the </w:t>
      </w:r>
      <w:r w:rsidRPr="00AE2AD0">
        <w:rPr>
          <w:i/>
        </w:rPr>
        <w:t>Naturally-occurring plus added rosemary extract_Usual Use</w:t>
      </w:r>
      <w:r w:rsidRPr="00AE2AD0">
        <w:t xml:space="preserve"> scenario, mean and P90 cons</w:t>
      </w:r>
      <w:r w:rsidR="0053098C">
        <w:t>umer dietary exposures are 0.045</w:t>
      </w:r>
      <w:r w:rsidRPr="00AE2AD0">
        <w:t> mg/kg bw/day and 0.09</w:t>
      </w:r>
      <w:r w:rsidR="0053098C">
        <w:t>6</w:t>
      </w:r>
      <w:r>
        <w:t> mg/kg bw/day respectively.</w:t>
      </w:r>
      <w:r w:rsidR="003B5401">
        <w:t xml:space="preserve"> </w:t>
      </w:r>
      <w:r w:rsidR="007B7417">
        <w:t>The similarity in the dietary exposures (i.e. with and without the inclusion of the contribution of naturally-occurring carnosic acid plus carnosol from rosemary leaves) confirms the small contribution of rosemary leaves to carnosic acid plus carnosol dietary exposures.</w:t>
      </w:r>
      <w:r w:rsidR="003B5401">
        <w:t xml:space="preserve"> </w:t>
      </w:r>
      <w:r w:rsidRPr="00AE2AD0">
        <w:t>See</w:t>
      </w:r>
      <w:r>
        <w:t xml:space="preserv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rsidRPr="0053098C">
        <w:t xml:space="preserve"> a</w:t>
      </w:r>
      <w:r w:rsidRPr="00AE2AD0">
        <w:t xml:space="preserve">nd </w:t>
      </w:r>
      <w:r w:rsidRPr="00AE2AD0">
        <w:fldChar w:fldCharType="begin"/>
      </w:r>
      <w:r w:rsidRPr="00AE2AD0">
        <w:instrText xml:space="preserve"> REF _Ref515875496 \h  \* MERGEFORMAT </w:instrText>
      </w:r>
      <w:r w:rsidRPr="00AE2AD0">
        <w:fldChar w:fldCharType="separate"/>
      </w:r>
      <w:r w:rsidR="004C731A" w:rsidRPr="00761133">
        <w:t xml:space="preserve">Figure </w:t>
      </w:r>
      <w:r w:rsidR="004C731A" w:rsidRPr="00761133">
        <w:rPr>
          <w:noProof/>
        </w:rPr>
        <w:t>4</w:t>
      </w:r>
      <w:r w:rsidR="004C731A" w:rsidRPr="00761133">
        <w:t xml:space="preserve"> </w:t>
      </w:r>
      <w:r w:rsidR="004C731A">
        <w:rPr>
          <w:noProof/>
        </w:rPr>
        <w:t>2</w:t>
      </w:r>
      <w:r w:rsidRPr="00AE2AD0">
        <w:fldChar w:fldCharType="end"/>
      </w:r>
      <w:r w:rsidRPr="00AE2AD0">
        <w:t xml:space="preserve"> for details.</w:t>
      </w:r>
    </w:p>
    <w:p w14:paraId="63518EED" w14:textId="13CB7FB2" w:rsidR="0097427E" w:rsidRPr="008B52B6" w:rsidRDefault="00116401" w:rsidP="00116401">
      <w:pPr>
        <w:pStyle w:val="FSCh4Div"/>
        <w:ind w:left="851" w:hanging="851"/>
      </w:pPr>
      <w:bookmarkStart w:id="209" w:name="_Toc516668843"/>
      <w:r>
        <w:t>4.3.2</w:t>
      </w:r>
      <w:r>
        <w:tab/>
      </w:r>
      <w:r w:rsidR="0097427E" w:rsidRPr="008B52B6">
        <w:t>New Zealanders aged 15 years and above</w:t>
      </w:r>
      <w:bookmarkEnd w:id="209"/>
    </w:p>
    <w:p w14:paraId="4AE512F5" w14:textId="7E4F0FB1" w:rsidR="0097427E" w:rsidRDefault="00FB58D6" w:rsidP="00FB58D6">
      <w:pPr>
        <w:pStyle w:val="Heading5"/>
        <w:widowControl/>
        <w:spacing w:after="120"/>
      </w:pPr>
      <w:bookmarkStart w:id="210" w:name="_Ref503774790"/>
      <w:bookmarkStart w:id="211" w:name="_Ref503774866"/>
      <w:r>
        <w:t>4.3.2.1</w:t>
      </w:r>
      <w:r>
        <w:tab/>
      </w:r>
      <w:r w:rsidR="0097427E" w:rsidRPr="00367041">
        <w:t>Naturally</w:t>
      </w:r>
      <w:r w:rsidR="0097427E">
        <w:t>-occurring scenario</w:t>
      </w:r>
    </w:p>
    <w:p w14:paraId="319F830C" w14:textId="06428713" w:rsidR="0097427E" w:rsidRDefault="0097427E" w:rsidP="0097427E">
      <w:r w:rsidRPr="00EF75D8">
        <w:t xml:space="preserve">The estimated mean and P90 </w:t>
      </w:r>
      <w:r>
        <w:t xml:space="preserve">consumer </w:t>
      </w:r>
      <w:r w:rsidRPr="00EF75D8">
        <w:t xml:space="preserve">dietary exposures to </w:t>
      </w:r>
      <w:r w:rsidR="0048026B">
        <w:t>carnosic acid plus carnosol</w:t>
      </w:r>
      <w:r>
        <w:t xml:space="preserve"> for New Zealanders aged 15 years and above are 0.18 mg/kg bw/day and 0.30 mg/kg bw/day for the </w:t>
      </w:r>
      <w:r>
        <w:rPr>
          <w:i/>
        </w:rPr>
        <w:t>Naturally-occurring</w:t>
      </w:r>
      <w:r>
        <w:t xml:space="preserve"> scenario. Approximately 1% of New Zealanders aged 15 years and above are exposed to </w:t>
      </w:r>
      <w:r w:rsidR="0048026B">
        <w:t>carnosic acid plus carnosol</w:t>
      </w:r>
      <w:r>
        <w:t xml:space="preserve"> through consumption of rosemary leaves (either on their own or as a part of mixed dishes).</w:t>
      </w:r>
      <w:r w:rsidR="003B5401">
        <w:t xml:space="preserve"> </w:t>
      </w:r>
      <w:r w:rsidRPr="00AE2AD0">
        <w:t>See</w:t>
      </w:r>
      <w:r>
        <w:t xml:space="preserv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rsidRPr="0053098C">
        <w:t xml:space="preserve"> fo</w:t>
      </w:r>
      <w:r w:rsidRPr="00AE2AD0">
        <w:t>r details.</w:t>
      </w:r>
    </w:p>
    <w:p w14:paraId="4F73333B" w14:textId="1F5B59AD" w:rsidR="0097427E" w:rsidRDefault="00ED7176" w:rsidP="005B5EED">
      <w:pPr>
        <w:pStyle w:val="Heading5"/>
        <w:widowControl/>
        <w:spacing w:after="120"/>
      </w:pPr>
      <w:r>
        <w:t>4.3.2.2</w:t>
      </w:r>
      <w:r>
        <w:tab/>
      </w:r>
      <w:r w:rsidR="0097427E">
        <w:t>MPL scenarios</w:t>
      </w:r>
    </w:p>
    <w:p w14:paraId="54F12ABA" w14:textId="65813708" w:rsidR="003B5401" w:rsidRDefault="0097427E" w:rsidP="0097427E">
      <w:r>
        <w:t xml:space="preserve">Dietary exposures decrease from the </w:t>
      </w:r>
      <w:r w:rsidRPr="00D1088B">
        <w:rPr>
          <w:i/>
        </w:rPr>
        <w:t>Naturally-occurring</w:t>
      </w:r>
      <w:r>
        <w:t xml:space="preserve"> scenario under the </w:t>
      </w:r>
      <w:r>
        <w:rPr>
          <w:i/>
        </w:rPr>
        <w:t>Added rosemary extract only_MPL</w:t>
      </w:r>
      <w:r>
        <w:t xml:space="preserve"> and </w:t>
      </w:r>
      <w:r>
        <w:rPr>
          <w:i/>
        </w:rPr>
        <w:t>Naturally-occurring plus added rosemary extract_MPL</w:t>
      </w:r>
      <w:r>
        <w:t xml:space="preserve"> scenarios.</w:t>
      </w:r>
      <w:r w:rsidR="007B7417">
        <w:t xml:space="preserve"> This pattern is different to other population groups. This difference is likely due to only 1% of New Zealanders aged 15 years and above being exposed in the </w:t>
      </w:r>
      <w:r w:rsidR="007B7417">
        <w:rPr>
          <w:i/>
        </w:rPr>
        <w:t xml:space="preserve">Naturally-occurring </w:t>
      </w:r>
      <w:r w:rsidR="007B7417">
        <w:t>scenario and 98% being exposed in the MPL scenarios.</w:t>
      </w:r>
    </w:p>
    <w:p w14:paraId="2D069961" w14:textId="77777777" w:rsidR="003B5401" w:rsidRDefault="003B5401" w:rsidP="0097427E"/>
    <w:p w14:paraId="09A09AA2" w14:textId="18F4873F" w:rsidR="0097427E" w:rsidRDefault="0097427E" w:rsidP="0097427E">
      <w:r>
        <w:t xml:space="preserve">For the </w:t>
      </w:r>
      <w:r>
        <w:rPr>
          <w:i/>
        </w:rPr>
        <w:t>Added rosemary extract only_MPL</w:t>
      </w:r>
      <w:r>
        <w:t xml:space="preserve"> scenario, mean and P90 consumer dietary exposures are 0.0</w:t>
      </w:r>
      <w:r w:rsidR="0053098C">
        <w:t>78</w:t>
      </w:r>
      <w:r>
        <w:t xml:space="preserve"> mg/kg bw/day and 0.15 mg/kg bw/day respectively. For the </w:t>
      </w:r>
      <w:r>
        <w:rPr>
          <w:i/>
        </w:rPr>
        <w:t>Naturally-occurring plus added rosemary extract_MPL</w:t>
      </w:r>
      <w:r>
        <w:t xml:space="preserve"> scenario, mean and P90 cons</w:t>
      </w:r>
      <w:r w:rsidR="0053098C">
        <w:t>umer dietary exposures are 0.080</w:t>
      </w:r>
      <w:r>
        <w:t> mg/kg bw/day and 0.16 mg/kg bw/day respectively</w:t>
      </w:r>
      <w:r w:rsidR="007B7417">
        <w:t>.</w:t>
      </w:r>
      <w:r w:rsidR="007B7417" w:rsidRPr="007B7417">
        <w:t xml:space="preserve"> </w:t>
      </w:r>
      <w:r w:rsidR="00066FA5">
        <w:t>The similarity in the dietary exposures (i.e. with and without the inclusion of the contribution of naturally-occurring carnosic acid plus carnosol from rosemary leaves) confirms the small contribution of rosemary leaves to carnosic acid plus carnosol dietary exposures</w:t>
      </w:r>
      <w:r>
        <w:t>.</w:t>
      </w:r>
      <w:r w:rsidR="003B5401">
        <w:t xml:space="preserve"> </w:t>
      </w:r>
      <w:r w:rsidRPr="00AE2AD0">
        <w:t>See</w:t>
      </w:r>
      <w:r>
        <w:t xml:space="preserv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rsidRPr="0053098C">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4C731A" w:rsidRPr="00761133">
        <w:t xml:space="preserve">Figure </w:t>
      </w:r>
      <w:r w:rsidR="004C731A" w:rsidRPr="00761133">
        <w:rPr>
          <w:noProof/>
        </w:rPr>
        <w:lastRenderedPageBreak/>
        <w:t>4</w:t>
      </w:r>
      <w:r w:rsidR="004C731A" w:rsidRPr="00761133">
        <w:t xml:space="preserve"> </w:t>
      </w:r>
      <w:r w:rsidR="004C731A">
        <w:rPr>
          <w:noProof/>
        </w:rPr>
        <w:t>2</w:t>
      </w:r>
      <w:r w:rsidRPr="00AE2AD0">
        <w:fldChar w:fldCharType="end"/>
      </w:r>
      <w:r w:rsidRPr="00AE2AD0">
        <w:t xml:space="preserve"> for details.</w:t>
      </w:r>
    </w:p>
    <w:p w14:paraId="7158E641" w14:textId="707B8D84" w:rsidR="0097427E" w:rsidRDefault="00ED7176" w:rsidP="005B5EED">
      <w:pPr>
        <w:pStyle w:val="Heading5"/>
        <w:widowControl/>
        <w:spacing w:after="120"/>
      </w:pPr>
      <w:bookmarkStart w:id="212" w:name="_Toc516668844"/>
      <w:r>
        <w:t>4.3.2.3</w:t>
      </w:r>
      <w:r>
        <w:tab/>
      </w:r>
      <w:r w:rsidR="0097427E">
        <w:t>Usual Use scenarios</w:t>
      </w:r>
    </w:p>
    <w:p w14:paraId="7A864EA9" w14:textId="6A1588B2" w:rsidR="0097427E" w:rsidRDefault="0097427E" w:rsidP="0097427E">
      <w:r w:rsidRPr="00DC6457">
        <w:t xml:space="preserve">Dietary exposures decrease </w:t>
      </w:r>
      <w:r>
        <w:t xml:space="preserve">from the MPL scenarios </w:t>
      </w:r>
      <w:r w:rsidRPr="00DC6457">
        <w:t xml:space="preserve">under the </w:t>
      </w:r>
      <w:r w:rsidRPr="00DC6457">
        <w:rPr>
          <w:i/>
        </w:rPr>
        <w:t>Added rosemary extract only_Usual Use</w:t>
      </w:r>
      <w:r w:rsidRPr="00DC6457">
        <w:t xml:space="preserve"> and </w:t>
      </w:r>
      <w:r w:rsidRPr="00DC6457">
        <w:rPr>
          <w:i/>
        </w:rPr>
        <w:t>Naturally-occurring plus added rosemary extract_Usual Use</w:t>
      </w:r>
      <w:r w:rsidRPr="00DC6457">
        <w:t xml:space="preserve"> scenarios, with 98% of New Zealanders aged 15 years and above being exposed to </w:t>
      </w:r>
      <w:r w:rsidR="0048026B">
        <w:t>carnosic acid plus carnosol</w:t>
      </w:r>
      <w:r>
        <w:t xml:space="preserve"> in these scenarios.</w:t>
      </w:r>
    </w:p>
    <w:p w14:paraId="2C587374" w14:textId="77777777" w:rsidR="00667AAD" w:rsidRDefault="00667AAD" w:rsidP="0097427E"/>
    <w:p w14:paraId="33A4F8C3" w14:textId="6E58B5E5" w:rsidR="0097427E" w:rsidRDefault="0097427E" w:rsidP="0097427E">
      <w:r w:rsidRPr="00DC6457">
        <w:t xml:space="preserve">For the </w:t>
      </w:r>
      <w:r w:rsidRPr="00DC6457">
        <w:rPr>
          <w:i/>
        </w:rPr>
        <w:t>Added rosemary extract only_Usual Use</w:t>
      </w:r>
      <w:r w:rsidRPr="00DC6457">
        <w:t xml:space="preserve"> scenario, mean and P90 cons</w:t>
      </w:r>
      <w:r w:rsidR="0053098C">
        <w:t>umer dietary exposures are 0.041</w:t>
      </w:r>
      <w:r w:rsidRPr="00DC6457">
        <w:t xml:space="preserve"> mg/kg bw/day and 0.08 mg/kg bw/day respectively. For the </w:t>
      </w:r>
      <w:r w:rsidRPr="00DC6457">
        <w:rPr>
          <w:i/>
        </w:rPr>
        <w:t>Naturally-occurring plus added rosemary extract_Usual Use</w:t>
      </w:r>
      <w:r w:rsidRPr="00DC6457">
        <w:t xml:space="preserve"> scenario, mean and P90 consumer dietary exposures are 0.04</w:t>
      </w:r>
      <w:r w:rsidR="0053098C">
        <w:t>3 mg/kg bw/day and 0.085</w:t>
      </w:r>
      <w:r>
        <w:t> mg/kg bw/day respectively.</w:t>
      </w:r>
      <w:r w:rsidR="003B5401" w:rsidRPr="003B5401">
        <w:t xml:space="preserve"> </w:t>
      </w:r>
      <w:r w:rsidR="004D4294">
        <w:t>The similarity in the dietary exposures (i.e. with and without the inclusion of the contribution of naturally-occurring carnosic acid plus carnosol from rosemary leaves) confirms the small contribution of rosemary leaves to carnosic acid plus carnosol dietary exposures.</w:t>
      </w:r>
      <w:r w:rsidR="003B5401">
        <w:t xml:space="preserve"> </w:t>
      </w:r>
      <w:r w:rsidRPr="00AE2AD0">
        <w:t>See</w:t>
      </w:r>
      <w:r>
        <w:t xml:space="preserve"> </w:t>
      </w:r>
      <w:r w:rsidRPr="0053098C">
        <w:fldChar w:fldCharType="begin"/>
      </w:r>
      <w:r w:rsidRPr="0053098C">
        <w:instrText xml:space="preserve"> REF _Ref515900451 \h </w:instrText>
      </w:r>
      <w:r w:rsidR="0053098C" w:rsidRPr="0053098C">
        <w:instrText xml:space="preserve"> \* MERGEFORMAT </w:instrText>
      </w:r>
      <w:r w:rsidRPr="0053098C">
        <w:fldChar w:fldCharType="separate"/>
      </w:r>
      <w:r w:rsidR="004C731A" w:rsidRPr="004C731A">
        <w:t>Table 4.5</w:t>
      </w:r>
      <w:r w:rsidRPr="0053098C">
        <w:fldChar w:fldCharType="end"/>
      </w:r>
      <w:r w:rsidRPr="0053098C">
        <w:t xml:space="preserve"> and </w:t>
      </w:r>
      <w:r w:rsidRPr="0053098C">
        <w:fldChar w:fldCharType="begin"/>
      </w:r>
      <w:r w:rsidRPr="0053098C">
        <w:instrText xml:space="preserve"> REF _Ref515875496 \h  \* MERGEFORMAT </w:instrText>
      </w:r>
      <w:r w:rsidRPr="0053098C">
        <w:fldChar w:fldCharType="separate"/>
      </w:r>
      <w:r w:rsidR="004C731A" w:rsidRPr="00761133">
        <w:t xml:space="preserve">Figure 4 </w:t>
      </w:r>
      <w:r w:rsidR="004C731A">
        <w:rPr>
          <w:noProof/>
        </w:rPr>
        <w:t>2</w:t>
      </w:r>
      <w:r w:rsidRPr="0053098C">
        <w:fldChar w:fldCharType="end"/>
      </w:r>
      <w:r w:rsidRPr="0053098C">
        <w:t xml:space="preserve"> for details.</w:t>
      </w:r>
    </w:p>
    <w:p w14:paraId="5AE83026" w14:textId="1866C7A9" w:rsidR="0097427E" w:rsidRPr="00EF75D8" w:rsidRDefault="00116401" w:rsidP="00116401">
      <w:pPr>
        <w:pStyle w:val="FSCh4Div"/>
        <w:ind w:left="851" w:hanging="851"/>
      </w:pPr>
      <w:r>
        <w:t>4.3.3</w:t>
      </w:r>
      <w:r>
        <w:tab/>
      </w:r>
      <w:r w:rsidR="0097427E">
        <w:t>New Zealanders aged 5-14 years</w:t>
      </w:r>
      <w:bookmarkEnd w:id="212"/>
    </w:p>
    <w:p w14:paraId="188BFD72" w14:textId="7F699696" w:rsidR="0097427E" w:rsidRDefault="00116401" w:rsidP="00116401">
      <w:pPr>
        <w:pStyle w:val="Heading5"/>
        <w:widowControl/>
        <w:spacing w:after="120"/>
      </w:pPr>
      <w:r>
        <w:t>4.3.3.1</w:t>
      </w:r>
      <w:r>
        <w:tab/>
      </w:r>
      <w:r w:rsidR="0097427E" w:rsidRPr="00367041">
        <w:t>Naturally</w:t>
      </w:r>
      <w:r w:rsidR="0097427E">
        <w:t>-occurring scenario</w:t>
      </w:r>
    </w:p>
    <w:p w14:paraId="443ADFCD" w14:textId="72B68370" w:rsidR="0097427E" w:rsidRDefault="0097427E" w:rsidP="0097427E">
      <w:r w:rsidRPr="00EF75D8">
        <w:t xml:space="preserve">The estimated mean </w:t>
      </w:r>
      <w:r>
        <w:t xml:space="preserve">consumer </w:t>
      </w:r>
      <w:r w:rsidRPr="00EF75D8">
        <w:t xml:space="preserve">dietary exposures to </w:t>
      </w:r>
      <w:r w:rsidR="0048026B">
        <w:t>carnosic acid plus carnosol</w:t>
      </w:r>
      <w:r>
        <w:t xml:space="preserve"> for New Zealanders aged 5-14 years are 0.023 mg/kg bw/day for the </w:t>
      </w:r>
      <w:r>
        <w:rPr>
          <w:i/>
        </w:rPr>
        <w:t>Naturally-occurring</w:t>
      </w:r>
      <w:r>
        <w:t xml:space="preserve"> scenario. Approximately 0.1% of New Zealanders aged 5-14 years are exposed to </w:t>
      </w:r>
      <w:r w:rsidR="0048026B">
        <w:t>carnosic acid plus carnosol</w:t>
      </w:r>
      <w:r>
        <w:t xml:space="preserve"> through consumption of rosemary leaves (either on their own or as a part of mixed dishes). There were insufficient consumers to be able to derive a P90 dietary exposure to </w:t>
      </w:r>
      <w:r w:rsidR="0048026B">
        <w:t>carnosic acid plus carnosol</w:t>
      </w:r>
      <w:r>
        <w:t xml:space="preserve"> for the </w:t>
      </w:r>
      <w:r>
        <w:rPr>
          <w:i/>
        </w:rPr>
        <w:t>Naturally-occurring</w:t>
      </w:r>
      <w:r>
        <w:t xml:space="preserve"> scenario.</w:t>
      </w:r>
      <w:r w:rsidR="003B5401">
        <w:t xml:space="preserve"> </w:t>
      </w:r>
      <w:r w:rsidRPr="00AE2AD0">
        <w:t>See</w:t>
      </w:r>
      <w:r>
        <w:t xml:space="preserve"> </w:t>
      </w:r>
      <w:r w:rsidRPr="00C175E1">
        <w:fldChar w:fldCharType="begin"/>
      </w:r>
      <w:r w:rsidRPr="00C175E1">
        <w:instrText xml:space="preserve"> REF _Ref515900451 \h </w:instrText>
      </w:r>
      <w:r w:rsidR="00C175E1" w:rsidRPr="00C175E1">
        <w:instrText xml:space="preserve"> \* MERGEFORMAT </w:instrText>
      </w:r>
      <w:r w:rsidRPr="00C175E1">
        <w:fldChar w:fldCharType="separate"/>
      </w:r>
      <w:r w:rsidR="004C731A" w:rsidRPr="004C731A">
        <w:t>Table 4.5</w:t>
      </w:r>
      <w:r w:rsidRPr="00C175E1">
        <w:fldChar w:fldCharType="end"/>
      </w:r>
      <w:r w:rsidRPr="00C175E1">
        <w:t xml:space="preserve"> </w:t>
      </w:r>
      <w:r w:rsidRPr="00AE2AD0">
        <w:t>for details.</w:t>
      </w:r>
    </w:p>
    <w:p w14:paraId="21A892B1" w14:textId="2236B907" w:rsidR="0097427E" w:rsidRDefault="00105D41" w:rsidP="005B5EED">
      <w:pPr>
        <w:pStyle w:val="Heading5"/>
        <w:widowControl/>
        <w:spacing w:after="120"/>
      </w:pPr>
      <w:r>
        <w:t>4.3.3.2</w:t>
      </w:r>
      <w:r>
        <w:tab/>
      </w:r>
      <w:r w:rsidR="0097427E">
        <w:t>MPL scenarios</w:t>
      </w:r>
    </w:p>
    <w:p w14:paraId="1C7D5E84" w14:textId="202379DE" w:rsidR="0097427E" w:rsidRDefault="0097427E" w:rsidP="0097427E">
      <w:r>
        <w:t xml:space="preserve">Dietary exposures increase from the </w:t>
      </w:r>
      <w:r w:rsidRPr="00127356">
        <w:rPr>
          <w:i/>
        </w:rPr>
        <w:t>Naturally-occurring</w:t>
      </w:r>
      <w:r>
        <w:t xml:space="preserve"> scenario under the </w:t>
      </w:r>
      <w:r>
        <w:rPr>
          <w:i/>
        </w:rPr>
        <w:t>Added rosemary extract only_MPL</w:t>
      </w:r>
      <w:r>
        <w:t xml:space="preserve"> and </w:t>
      </w:r>
      <w:r>
        <w:rPr>
          <w:i/>
        </w:rPr>
        <w:t>Naturally-occurring plus added rosemary extract_MPL</w:t>
      </w:r>
      <w:r>
        <w:t xml:space="preserve"> scenarios, with 99% of New Zealanders aged 5-14 years being exposed to </w:t>
      </w:r>
      <w:r w:rsidR="0048026B">
        <w:t>carnosic acid plus carnosol</w:t>
      </w:r>
      <w:r>
        <w:t xml:space="preserve"> in these scenarios. For the </w:t>
      </w:r>
      <w:r>
        <w:rPr>
          <w:i/>
        </w:rPr>
        <w:t>Added rosemary extract only_MPL</w:t>
      </w:r>
      <w:r>
        <w:t xml:space="preserve"> and </w:t>
      </w:r>
      <w:r>
        <w:rPr>
          <w:i/>
        </w:rPr>
        <w:t>Naturally-occurring plus added rosemary extract_MPL</w:t>
      </w:r>
      <w:r>
        <w:t xml:space="preserve"> scenarios, mean and P90 consumer dietary exposure</w:t>
      </w:r>
      <w:r w:rsidR="00C175E1">
        <w:t>s are 0.17 mg/kg bw/day and 0.34</w:t>
      </w:r>
      <w:r>
        <w:t> mg/kg bw/day respectively.</w:t>
      </w:r>
      <w:r w:rsidR="003B5401">
        <w:t xml:space="preserve"> </w:t>
      </w:r>
      <w:r w:rsidR="004D4294">
        <w:t xml:space="preserve">The similarity in the dietary exposures (i.e. with and without the inclusion of the contribution of naturally-occurring carnosic acid plus carnosol from rosemary leaves) confirms the small contribution of rosemary leaves to carnosic acid plus carnosol dietary exposures. </w:t>
      </w:r>
      <w:r w:rsidRPr="00C175E1">
        <w:t xml:space="preserve">See </w:t>
      </w:r>
      <w:r w:rsidRPr="00C175E1">
        <w:fldChar w:fldCharType="begin"/>
      </w:r>
      <w:r w:rsidRPr="00C175E1">
        <w:instrText xml:space="preserve"> REF _Ref515900451 \h </w:instrText>
      </w:r>
      <w:r w:rsidR="00C175E1" w:rsidRPr="00C175E1">
        <w:instrText xml:space="preserve"> \* MERGEFORMAT </w:instrText>
      </w:r>
      <w:r w:rsidRPr="00C175E1">
        <w:fldChar w:fldCharType="separate"/>
      </w:r>
      <w:r w:rsidR="004C731A" w:rsidRPr="004C731A">
        <w:t>Table 4.5</w:t>
      </w:r>
      <w:r w:rsidRPr="00C175E1">
        <w:fldChar w:fldCharType="end"/>
      </w:r>
      <w:r>
        <w:t xml:space="preserve"> </w:t>
      </w:r>
      <w:r w:rsidRPr="00AE2AD0">
        <w:t xml:space="preserve">and </w:t>
      </w:r>
      <w:r w:rsidRPr="00AE2AD0">
        <w:fldChar w:fldCharType="begin"/>
      </w:r>
      <w:r w:rsidRPr="00AE2AD0">
        <w:instrText xml:space="preserve"> REF _Ref515875496 \h  \* MERGEFORMAT </w:instrText>
      </w:r>
      <w:r w:rsidRPr="00AE2AD0">
        <w:fldChar w:fldCharType="separate"/>
      </w:r>
      <w:r w:rsidR="004C731A" w:rsidRPr="00761133">
        <w:t xml:space="preserve">Figure 4 </w:t>
      </w:r>
      <w:r w:rsidR="004C731A">
        <w:rPr>
          <w:noProof/>
        </w:rPr>
        <w:t>2</w:t>
      </w:r>
      <w:r w:rsidRPr="00AE2AD0">
        <w:fldChar w:fldCharType="end"/>
      </w:r>
      <w:r w:rsidRPr="00AE2AD0">
        <w:t xml:space="preserve"> for details.</w:t>
      </w:r>
    </w:p>
    <w:p w14:paraId="109FAF12" w14:textId="19705065" w:rsidR="0097427E" w:rsidRDefault="00105D41" w:rsidP="005B5EED">
      <w:pPr>
        <w:pStyle w:val="Heading5"/>
        <w:widowControl/>
        <w:spacing w:after="120"/>
      </w:pPr>
      <w:r>
        <w:t>4.3.3.3</w:t>
      </w:r>
      <w:r>
        <w:tab/>
      </w:r>
      <w:r w:rsidR="0097427E">
        <w:t>Usual Use scenarios</w:t>
      </w:r>
    </w:p>
    <w:p w14:paraId="590BF318" w14:textId="37914757" w:rsidR="0097427E" w:rsidRDefault="0097427E" w:rsidP="0097427E">
      <w:r>
        <w:t xml:space="preserve">Dietary exposures decrease from the MPL scenarios under the </w:t>
      </w:r>
      <w:r>
        <w:rPr>
          <w:i/>
        </w:rPr>
        <w:t>Added rosemary extract only_Usual Use</w:t>
      </w:r>
      <w:r>
        <w:t xml:space="preserve"> and </w:t>
      </w:r>
      <w:r>
        <w:rPr>
          <w:i/>
        </w:rPr>
        <w:t>Naturally-occurring plus added rosemary extract_Usual Use</w:t>
      </w:r>
      <w:r>
        <w:t xml:space="preserve"> scenarios, with 99% of New Zealanders aged 5-14 years being exposed to </w:t>
      </w:r>
      <w:r w:rsidR="0048026B">
        <w:t>carnosic acid plus carnosol</w:t>
      </w:r>
      <w:r>
        <w:t xml:space="preserve"> in these scenarios.</w:t>
      </w:r>
    </w:p>
    <w:p w14:paraId="2CCC5235" w14:textId="77777777" w:rsidR="00667AAD" w:rsidRDefault="00667AAD" w:rsidP="0097427E"/>
    <w:p w14:paraId="7520C95B" w14:textId="20FF8EB0" w:rsidR="003B5401" w:rsidRDefault="0097427E" w:rsidP="004D4294">
      <w:r>
        <w:t xml:space="preserve">For the </w:t>
      </w:r>
      <w:r>
        <w:rPr>
          <w:i/>
        </w:rPr>
        <w:t>Added rosemary extract only_MPL</w:t>
      </w:r>
      <w:r>
        <w:t xml:space="preserve"> and </w:t>
      </w:r>
      <w:r>
        <w:rPr>
          <w:i/>
        </w:rPr>
        <w:t>Naturally-occurring plus added rosemary extract_MPL</w:t>
      </w:r>
      <w:r>
        <w:t xml:space="preserve"> scenarios, mean and P90 consumer dietary exposures are 0.09</w:t>
      </w:r>
      <w:r w:rsidR="00C175E1">
        <w:t>1 mg/kg bw/day and 0.18</w:t>
      </w:r>
      <w:r>
        <w:t xml:space="preserve"> mg/kg bw/day respectively. </w:t>
      </w:r>
      <w:r w:rsidR="004D4294">
        <w:t>The similarity in the dietary exposures (i.e. with and without the inclusion of the contribution of naturally-occurring carnosic acid plus carnosol from rosemary leaves) confirms the small contribution of rosemary leaves to carnosic acid plus carnosol dietary exposures.</w:t>
      </w:r>
    </w:p>
    <w:p w14:paraId="220FC436" w14:textId="77777777" w:rsidR="00052EDC" w:rsidRDefault="00052EDC" w:rsidP="004D4294"/>
    <w:p w14:paraId="6D5457A6" w14:textId="0388AC47" w:rsidR="0097427E" w:rsidRDefault="0097427E" w:rsidP="0097427E">
      <w:r>
        <w:t xml:space="preserve">Under the two Usual Use antioxidant use scenarios, New Zealand children aged 5-14 years </w:t>
      </w:r>
      <w:r>
        <w:lastRenderedPageBreak/>
        <w:t xml:space="preserve">have higher mean and P90 dietary exposures on a body weight basis to </w:t>
      </w:r>
      <w:r w:rsidR="0048026B">
        <w:t>carnosic acid plus carnosol</w:t>
      </w:r>
      <w:r>
        <w:t xml:space="preserve"> than for the older group of New Zealanders aged 15 years and above. This is due to their smaller body weight and higher food consumption per kilogram of body weight compared to adults.</w:t>
      </w:r>
      <w:r w:rsidR="00A36C2D">
        <w:t xml:space="preserve"> </w:t>
      </w:r>
      <w:r w:rsidRPr="00AE2AD0">
        <w:t>See</w:t>
      </w:r>
      <w:r>
        <w:t xml:space="preserve"> </w:t>
      </w:r>
      <w:r w:rsidRPr="00C175E1">
        <w:fldChar w:fldCharType="begin"/>
      </w:r>
      <w:r w:rsidRPr="00C175E1">
        <w:instrText xml:space="preserve"> REF _Ref515900451 \h </w:instrText>
      </w:r>
      <w:r w:rsidR="00C175E1" w:rsidRPr="00C175E1">
        <w:instrText xml:space="preserve"> \* MERGEFORMAT </w:instrText>
      </w:r>
      <w:r w:rsidRPr="00C175E1">
        <w:fldChar w:fldCharType="separate"/>
      </w:r>
      <w:r w:rsidR="004C731A" w:rsidRPr="004C731A">
        <w:t>Table 4.5</w:t>
      </w:r>
      <w:r w:rsidRPr="00C175E1">
        <w:fldChar w:fldCharType="end"/>
      </w:r>
      <w:r w:rsidRPr="00C175E1">
        <w:t xml:space="preserve"> a</w:t>
      </w:r>
      <w:r w:rsidRPr="00AE2AD0">
        <w:t xml:space="preserve">nd </w:t>
      </w:r>
      <w:r w:rsidRPr="00AE2AD0">
        <w:fldChar w:fldCharType="begin"/>
      </w:r>
      <w:r w:rsidRPr="00AE2AD0">
        <w:instrText xml:space="preserve"> REF _Ref515875496 \h  \* MERGEFORMAT </w:instrText>
      </w:r>
      <w:r w:rsidRPr="00AE2AD0">
        <w:fldChar w:fldCharType="separate"/>
      </w:r>
      <w:r w:rsidR="004C731A" w:rsidRPr="00761133">
        <w:t xml:space="preserve">Figure </w:t>
      </w:r>
      <w:r w:rsidR="004C731A" w:rsidRPr="00761133">
        <w:rPr>
          <w:noProof/>
        </w:rPr>
        <w:t>4</w:t>
      </w:r>
      <w:r w:rsidR="004C731A" w:rsidRPr="00761133">
        <w:t xml:space="preserve"> </w:t>
      </w:r>
      <w:r w:rsidR="004C731A">
        <w:rPr>
          <w:noProof/>
        </w:rPr>
        <w:t>2</w:t>
      </w:r>
      <w:r w:rsidRPr="00AE2AD0">
        <w:fldChar w:fldCharType="end"/>
      </w:r>
      <w:r w:rsidRPr="00AE2AD0">
        <w:t xml:space="preserve"> for details.</w:t>
      </w:r>
    </w:p>
    <w:p w14:paraId="57B378A9" w14:textId="2F30A009" w:rsidR="0097427E" w:rsidRDefault="0097427E" w:rsidP="00A36C2D"/>
    <w:p w14:paraId="777835F5" w14:textId="4AB6594C" w:rsidR="00C175E1" w:rsidRDefault="00761133" w:rsidP="00761133">
      <w:pPr>
        <w:keepNext/>
        <w:keepLines/>
      </w:pPr>
      <w:r>
        <w:rPr>
          <w:noProof/>
          <w:lang w:eastAsia="en-GB" w:bidi="ar-SA"/>
        </w:rPr>
        <w:drawing>
          <wp:inline distT="0" distB="0" distL="0" distR="0" wp14:anchorId="72E5B324" wp14:editId="4EDF120E">
            <wp:extent cx="5760000" cy="2725200"/>
            <wp:effectExtent l="0" t="0" r="0" b="0"/>
            <wp:docPr id="8" name="Picture 8" descr="Estimated mean and P90 dietary exposures to Carnosic acid plus Carnosol for Australian and New Zealand population groups for each rosemary extract scenario, expressed on a body weight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2725200"/>
                    </a:xfrm>
                    <a:prstGeom prst="rect">
                      <a:avLst/>
                    </a:prstGeom>
                    <a:noFill/>
                  </pic:spPr>
                </pic:pic>
              </a:graphicData>
            </a:graphic>
          </wp:inline>
        </w:drawing>
      </w:r>
    </w:p>
    <w:p w14:paraId="1B28C0E4" w14:textId="551D4A0F" w:rsidR="0097427E" w:rsidRDefault="0097427E" w:rsidP="00761133">
      <w:pPr>
        <w:pStyle w:val="FSFigureTitle"/>
        <w:keepNext/>
        <w:keepLines/>
      </w:pPr>
      <w:bookmarkStart w:id="213" w:name="_Ref515875496"/>
      <w:r w:rsidRPr="00761133">
        <w:t>Figure</w:t>
      </w:r>
      <w:r w:rsidR="00052EDC" w:rsidRPr="00761133">
        <w:t xml:space="preserve"> 4</w:t>
      </w:r>
      <w:r w:rsidRPr="00761133">
        <w:t xml:space="preserve"> </w:t>
      </w:r>
      <w:r w:rsidR="00BD09F0">
        <w:fldChar w:fldCharType="begin"/>
      </w:r>
      <w:r w:rsidR="00BD09F0">
        <w:instrText xml:space="preserve"> SEQ Figure \* ARABIC </w:instrText>
      </w:r>
      <w:r w:rsidR="00BD09F0">
        <w:fldChar w:fldCharType="separate"/>
      </w:r>
      <w:r w:rsidR="004C731A">
        <w:rPr>
          <w:noProof/>
        </w:rPr>
        <w:t>2</w:t>
      </w:r>
      <w:r w:rsidR="00BD09F0">
        <w:rPr>
          <w:noProof/>
        </w:rPr>
        <w:fldChar w:fldCharType="end"/>
      </w:r>
      <w:bookmarkEnd w:id="213"/>
      <w:r w:rsidRPr="00761133">
        <w:t xml:space="preserve">: Estimated consumer dietary exposures to </w:t>
      </w:r>
      <w:r w:rsidR="0048026B" w:rsidRPr="00761133">
        <w:t>carnosic acid plus carnosol</w:t>
      </w:r>
      <w:r w:rsidRPr="00761133">
        <w:t xml:space="preserve"> for Australian and New Zealand population groups</w:t>
      </w:r>
      <w:r w:rsidR="00CD1375" w:rsidRPr="00761133">
        <w:t xml:space="preserve"> for the antioxidant use scenarios</w:t>
      </w:r>
      <w:r w:rsidRPr="00761133">
        <w:t>, in mg/kg bw/day</w:t>
      </w:r>
      <w:r w:rsidRPr="00761133">
        <w:rPr>
          <w:rStyle w:val="FootnoteReference"/>
        </w:rPr>
        <w:footnoteReference w:id="6"/>
      </w:r>
    </w:p>
    <w:p w14:paraId="057CA7F9" w14:textId="2BD55036" w:rsidR="0097427E" w:rsidRPr="00066216" w:rsidRDefault="00116401" w:rsidP="00052EDC">
      <w:pPr>
        <w:pStyle w:val="Heading2"/>
      </w:pPr>
      <w:bookmarkStart w:id="214" w:name="_Toc516668845"/>
      <w:bookmarkStart w:id="215" w:name="_Toc517709900"/>
      <w:bookmarkStart w:id="216" w:name="_Toc518388300"/>
      <w:bookmarkStart w:id="217" w:name="_Toc526498389"/>
      <w:r>
        <w:t>4.4</w:t>
      </w:r>
      <w:r>
        <w:tab/>
      </w:r>
      <w:r w:rsidR="0097427E">
        <w:t>Major contributing foods</w:t>
      </w:r>
      <w:r w:rsidR="0097427E" w:rsidRPr="00066216">
        <w:t xml:space="preserve"> to </w:t>
      </w:r>
      <w:r w:rsidR="0048026B">
        <w:t>carnosic acid plus carnosol</w:t>
      </w:r>
      <w:r w:rsidR="0097427E">
        <w:t xml:space="preserve"> dietary exposures</w:t>
      </w:r>
      <w:bookmarkEnd w:id="214"/>
      <w:bookmarkEnd w:id="215"/>
      <w:bookmarkEnd w:id="216"/>
      <w:bookmarkEnd w:id="217"/>
    </w:p>
    <w:p w14:paraId="1A44B754" w14:textId="3FAFC1AD" w:rsidR="0097427E" w:rsidRDefault="0097427E" w:rsidP="003B5401">
      <w:pPr>
        <w:keepNext/>
        <w:keepLines/>
      </w:pPr>
      <w:r>
        <w:t>Major contributors to dietary exposures are defined as those that contribute ≥5% of the estimated dietary exposure.</w:t>
      </w:r>
    </w:p>
    <w:p w14:paraId="54A5EF99" w14:textId="77777777" w:rsidR="00116401" w:rsidRDefault="00116401" w:rsidP="0097427E"/>
    <w:p w14:paraId="5939CA03" w14:textId="3AC0486F" w:rsidR="0097427E" w:rsidRDefault="0097427E" w:rsidP="0097427E">
      <w:r w:rsidRPr="00914AE9">
        <w:t xml:space="preserve">In the </w:t>
      </w:r>
      <w:r w:rsidRPr="00914AE9">
        <w:rPr>
          <w:i/>
        </w:rPr>
        <w:t>Naturally-occurring</w:t>
      </w:r>
      <w:r w:rsidRPr="00914AE9">
        <w:t xml:space="preserve"> scenario, all of the </w:t>
      </w:r>
      <w:r w:rsidR="0048026B">
        <w:t>carnosic acid plus carnosol</w:t>
      </w:r>
      <w:r w:rsidRPr="00914AE9">
        <w:t xml:space="preserve"> dietary exposure is from rosemary leaves for all population groups. The contribution of flavouring uses is not considered in this assessment.</w:t>
      </w:r>
    </w:p>
    <w:p w14:paraId="5577475A" w14:textId="77777777" w:rsidR="00116401" w:rsidRPr="00914AE9" w:rsidRDefault="00116401" w:rsidP="0097427E"/>
    <w:p w14:paraId="1907AD48" w14:textId="043CC293" w:rsidR="0097427E" w:rsidRPr="00914AE9" w:rsidRDefault="0097427E" w:rsidP="0097427E">
      <w:r w:rsidRPr="00914AE9">
        <w:t xml:space="preserve">In all antioxidant use scenarios, Sauces &amp; toppings (including mayonnaise and salad dressings) is the major contributing food category to </w:t>
      </w:r>
      <w:r w:rsidR="0048026B">
        <w:t>carnosic acid plus carnosol</w:t>
      </w:r>
      <w:r w:rsidRPr="00914AE9">
        <w:t xml:space="preserve"> dietary exposures for all Australian and New Zealand population groups investigated. Contributing food categories are discussed in more detail below.</w:t>
      </w:r>
    </w:p>
    <w:p w14:paraId="568F74FA" w14:textId="790D1B29" w:rsidR="0097427E" w:rsidRPr="00914AE9" w:rsidRDefault="00116401" w:rsidP="00CD28D4">
      <w:pPr>
        <w:pStyle w:val="FSCh4Div"/>
        <w:keepNext/>
        <w:keepLines/>
        <w:ind w:left="851" w:hanging="851"/>
      </w:pPr>
      <w:bookmarkStart w:id="218" w:name="_Toc516668846"/>
      <w:r>
        <w:lastRenderedPageBreak/>
        <w:t>4.4.1</w:t>
      </w:r>
      <w:r>
        <w:tab/>
      </w:r>
      <w:r w:rsidR="0097427E" w:rsidRPr="00914AE9">
        <w:t>Australians aged 2 years and above</w:t>
      </w:r>
      <w:bookmarkEnd w:id="218"/>
    </w:p>
    <w:p w14:paraId="58878225" w14:textId="42EA6EE4" w:rsidR="0097427E" w:rsidRPr="00914AE9" w:rsidRDefault="00116401" w:rsidP="00CD28D4">
      <w:pPr>
        <w:pStyle w:val="Heading5"/>
        <w:keepLines/>
        <w:widowControl/>
        <w:spacing w:after="120"/>
      </w:pPr>
      <w:r>
        <w:t>4.4.1.1</w:t>
      </w:r>
      <w:r>
        <w:tab/>
      </w:r>
      <w:r w:rsidR="0097427E" w:rsidRPr="00914AE9">
        <w:t>MPL scenarios</w:t>
      </w:r>
    </w:p>
    <w:p w14:paraId="6198B1C9" w14:textId="77777777" w:rsidR="0097427E" w:rsidRDefault="0097427E" w:rsidP="00CD28D4">
      <w:pPr>
        <w:keepNext/>
        <w:keepLines/>
      </w:pPr>
      <w:r w:rsidRPr="00914AE9">
        <w:t>For the</w:t>
      </w:r>
      <w:r>
        <w:t xml:space="preserve"> MPL scenarios (</w:t>
      </w:r>
      <w:r w:rsidRPr="00914AE9">
        <w:rPr>
          <w:i/>
        </w:rPr>
        <w:t>Added rosemary extract only_MPL</w:t>
      </w:r>
      <w:r w:rsidRPr="00914AE9">
        <w:t xml:space="preserve"> </w:t>
      </w:r>
      <w:r>
        <w:t xml:space="preserve">and </w:t>
      </w:r>
      <w:r w:rsidRPr="00914AE9">
        <w:rPr>
          <w:i/>
        </w:rPr>
        <w:t>Naturally-occurring plus added rosemary extract_MPL</w:t>
      </w:r>
      <w:r>
        <w:t>)</w:t>
      </w:r>
      <w:r w:rsidRPr="00914AE9">
        <w:t>, the major contributing food groups to dietary exposures for Australians aged 2 years and above are:</w:t>
      </w:r>
    </w:p>
    <w:p w14:paraId="39E95EE3" w14:textId="650B9C4A" w:rsidR="0097427E" w:rsidRDefault="0097427E" w:rsidP="0097427E">
      <w:pPr>
        <w:pStyle w:val="FSBullet1"/>
        <w:keepNext/>
        <w:keepLines/>
      </w:pPr>
      <w:r w:rsidRPr="00914AE9">
        <w:t>Sauces &amp; toppings (including mayonnaise and salad dressings) (</w:t>
      </w:r>
      <w:r>
        <w:t>4</w:t>
      </w:r>
      <w:r w:rsidR="00761133">
        <w:t>4-45</w:t>
      </w:r>
      <w:r w:rsidRPr="00914AE9">
        <w:t>%)</w:t>
      </w:r>
    </w:p>
    <w:p w14:paraId="48E9EF66" w14:textId="45CDF00A" w:rsidR="0097427E" w:rsidRDefault="0097427E" w:rsidP="0097427E">
      <w:pPr>
        <w:pStyle w:val="FSBullet1"/>
        <w:keepNext/>
        <w:keepLines/>
      </w:pPr>
      <w:r w:rsidRPr="00914AE9">
        <w:t>Grain bars, breakfast bars, breakfast cereals (24%)</w:t>
      </w:r>
      <w:r>
        <w:t>; and</w:t>
      </w:r>
    </w:p>
    <w:p w14:paraId="129919FE" w14:textId="799D5158" w:rsidR="00761133" w:rsidRPr="00761133" w:rsidRDefault="0097427E" w:rsidP="00DC7955">
      <w:pPr>
        <w:pStyle w:val="FSBullet1"/>
        <w:keepNext/>
        <w:keepLines/>
        <w:spacing w:after="240"/>
        <w:ind w:left="499" w:hanging="357"/>
      </w:pPr>
      <w:r w:rsidRPr="00914AE9">
        <w:t>Cookies, pancakes, waffles, sweet pastries (rolls, doughnuts, muffins) (11%).</w:t>
      </w:r>
    </w:p>
    <w:p w14:paraId="68341C9E" w14:textId="3D875541" w:rsidR="0097427E" w:rsidRPr="00824245" w:rsidRDefault="0097427E" w:rsidP="008D41ED">
      <w:pPr>
        <w:pStyle w:val="FSFigureTitle"/>
        <w:keepNext/>
        <w:keepLines/>
        <w:rPr>
          <w:i w:val="0"/>
        </w:rPr>
      </w:pPr>
      <w:r w:rsidRPr="00824245">
        <w:rPr>
          <w:i w:val="0"/>
        </w:rPr>
        <w:t>Further details can be found in</w:t>
      </w:r>
      <w:r w:rsidR="008D41ED" w:rsidRPr="00122C43">
        <w:rPr>
          <w:i w:val="0"/>
        </w:rPr>
        <w:t xml:space="preserve"> </w:t>
      </w:r>
      <w:r w:rsidR="008D41ED" w:rsidRPr="00122C43">
        <w:rPr>
          <w:i w:val="0"/>
        </w:rPr>
        <w:fldChar w:fldCharType="begin"/>
      </w:r>
      <w:r w:rsidR="008D41ED" w:rsidRPr="00122C43">
        <w:rPr>
          <w:i w:val="0"/>
        </w:rPr>
        <w:instrText xml:space="preserve"> REF _Ref524595216 \h </w:instrText>
      </w:r>
      <w:r w:rsidR="008D41ED">
        <w:rPr>
          <w:i w:val="0"/>
        </w:rPr>
        <w:instrText xml:space="preserve"> \* MERGEFORMAT </w:instrText>
      </w:r>
      <w:r w:rsidR="008D41ED" w:rsidRPr="00122C43">
        <w:rPr>
          <w:i w:val="0"/>
        </w:rPr>
      </w:r>
      <w:r w:rsidR="008D41ED" w:rsidRPr="00122C43">
        <w:rPr>
          <w:i w:val="0"/>
        </w:rPr>
        <w:fldChar w:fldCharType="separate"/>
      </w:r>
      <w:r w:rsidR="004C731A" w:rsidRPr="004C731A">
        <w:rPr>
          <w:i w:val="0"/>
        </w:rPr>
        <w:t>Figure 4.3</w:t>
      </w:r>
      <w:r w:rsidR="008D41ED" w:rsidRPr="00122C43">
        <w:rPr>
          <w:i w:val="0"/>
        </w:rPr>
        <w:fldChar w:fldCharType="end"/>
      </w:r>
      <w:r w:rsidR="008D41ED" w:rsidRPr="00122C43">
        <w:rPr>
          <w:i w:val="0"/>
        </w:rPr>
        <w:t xml:space="preserve"> </w:t>
      </w:r>
      <w:r w:rsidRPr="00824245">
        <w:rPr>
          <w:i w:val="0"/>
        </w:rPr>
        <w:t xml:space="preserve">and </w:t>
      </w:r>
      <w:r w:rsidRPr="00824245">
        <w:rPr>
          <w:i w:val="0"/>
        </w:rPr>
        <w:fldChar w:fldCharType="begin"/>
      </w:r>
      <w:r w:rsidRPr="00824245">
        <w:rPr>
          <w:i w:val="0"/>
        </w:rPr>
        <w:instrText xml:space="preserve"> REF _Ref516069654 \h </w:instrText>
      </w:r>
      <w:r w:rsidR="00761133" w:rsidRPr="00824245">
        <w:rPr>
          <w:i w:val="0"/>
        </w:rPr>
        <w:instrText xml:space="preserve"> \* MERGEFORMAT </w:instrText>
      </w:r>
      <w:r w:rsidRPr="00824245">
        <w:rPr>
          <w:i w:val="0"/>
        </w:rPr>
      </w:r>
      <w:r w:rsidRPr="00824245">
        <w:rPr>
          <w:i w:val="0"/>
        </w:rPr>
        <w:fldChar w:fldCharType="separate"/>
      </w:r>
      <w:r w:rsidR="004C731A" w:rsidRPr="00B748C3">
        <w:rPr>
          <w:i w:val="0"/>
        </w:rPr>
        <w:t>Table 4.</w:t>
      </w:r>
      <w:r w:rsidR="004C731A">
        <w:rPr>
          <w:i w:val="0"/>
        </w:rPr>
        <w:t>6</w:t>
      </w:r>
      <w:r w:rsidRPr="00824245">
        <w:rPr>
          <w:i w:val="0"/>
        </w:rPr>
        <w:fldChar w:fldCharType="end"/>
      </w:r>
      <w:r w:rsidRPr="00824245">
        <w:rPr>
          <w:i w:val="0"/>
        </w:rPr>
        <w:t>.</w:t>
      </w:r>
    </w:p>
    <w:p w14:paraId="323AD88E" w14:textId="3C27C92E" w:rsidR="0097427E" w:rsidRPr="00914AE9" w:rsidRDefault="00116401" w:rsidP="00116401">
      <w:pPr>
        <w:pStyle w:val="Heading5"/>
        <w:keepNext w:val="0"/>
        <w:widowControl/>
        <w:spacing w:after="120"/>
      </w:pPr>
      <w:r>
        <w:t>4.4.1.2</w:t>
      </w:r>
      <w:r>
        <w:tab/>
      </w:r>
      <w:r w:rsidR="0097427E">
        <w:t>Usual Use</w:t>
      </w:r>
      <w:r w:rsidR="0097427E" w:rsidRPr="00914AE9">
        <w:t xml:space="preserve"> scenarios</w:t>
      </w:r>
    </w:p>
    <w:p w14:paraId="16927C6E" w14:textId="77777777" w:rsidR="0097427E" w:rsidRDefault="0097427E" w:rsidP="0097427E">
      <w:r w:rsidRPr="00914AE9">
        <w:t>For</w:t>
      </w:r>
      <w:r>
        <w:t xml:space="preserve"> both Usual Use scenarios (</w:t>
      </w:r>
      <w:r w:rsidRPr="00914AE9">
        <w:rPr>
          <w:i/>
        </w:rPr>
        <w:t>Added rosemary extract only_</w:t>
      </w:r>
      <w:r>
        <w:rPr>
          <w:i/>
        </w:rPr>
        <w:t>Usual Use</w:t>
      </w:r>
      <w:r w:rsidRPr="00914AE9">
        <w:t xml:space="preserve"> </w:t>
      </w:r>
      <w:r>
        <w:t xml:space="preserve">and </w:t>
      </w:r>
      <w:r w:rsidRPr="00914AE9">
        <w:rPr>
          <w:i/>
        </w:rPr>
        <w:t>Naturally-occurring plus added rosemary extract_</w:t>
      </w:r>
      <w:r>
        <w:rPr>
          <w:i/>
        </w:rPr>
        <w:t>Usual Use</w:t>
      </w:r>
      <w:r>
        <w:t>)</w:t>
      </w:r>
      <w:r w:rsidRPr="00914AE9">
        <w:t>, the major contributing food groups to dietary exposures for Austral</w:t>
      </w:r>
      <w:r>
        <w:t>ians aged 2 years and above are:</w:t>
      </w:r>
    </w:p>
    <w:p w14:paraId="0CBC4E52" w14:textId="22ABC1A8" w:rsidR="0097427E" w:rsidRDefault="0097427E" w:rsidP="0097427E">
      <w:pPr>
        <w:pStyle w:val="FSBullet1"/>
      </w:pPr>
      <w:r w:rsidRPr="00914AE9">
        <w:t>Sauces &amp; toppings (including ma</w:t>
      </w:r>
      <w:r w:rsidR="00AD0A38">
        <w:t>yonnaise and salad dressings) (</w:t>
      </w:r>
      <w:r>
        <w:t>4</w:t>
      </w:r>
      <w:r w:rsidR="00AD0A38">
        <w:t>2</w:t>
      </w:r>
      <w:r>
        <w:t>-4</w:t>
      </w:r>
      <w:r w:rsidR="00AD0A38">
        <w:t>3</w:t>
      </w:r>
      <w:r>
        <w:t>%)</w:t>
      </w:r>
    </w:p>
    <w:p w14:paraId="2F1568C5" w14:textId="20403750" w:rsidR="0097427E" w:rsidRDefault="0097427E" w:rsidP="0097427E">
      <w:pPr>
        <w:pStyle w:val="FSBullet1"/>
      </w:pPr>
      <w:r w:rsidRPr="00914AE9">
        <w:t>Grain bars, break</w:t>
      </w:r>
      <w:r w:rsidR="00AD0A38">
        <w:t>fast bars, breakfast cereals (23</w:t>
      </w:r>
      <w:r w:rsidRPr="00914AE9">
        <w:t>%)</w:t>
      </w:r>
    </w:p>
    <w:p w14:paraId="63612442" w14:textId="202D959A" w:rsidR="0097427E" w:rsidRDefault="0097427E" w:rsidP="0097427E">
      <w:pPr>
        <w:pStyle w:val="FSBullet1"/>
      </w:pPr>
      <w:r w:rsidRPr="00914AE9">
        <w:t>Cookies, pancakes, waffles, sweet pastries (rolls, doughnuts, muffins) (</w:t>
      </w:r>
      <w:r w:rsidR="00AD0A38">
        <w:t>10-</w:t>
      </w:r>
      <w:r w:rsidRPr="00914AE9">
        <w:t>11%)</w:t>
      </w:r>
      <w:r>
        <w:t>; and</w:t>
      </w:r>
    </w:p>
    <w:p w14:paraId="20B8D7E3" w14:textId="295349AD" w:rsidR="0097427E" w:rsidRDefault="0097427E" w:rsidP="0097427E">
      <w:pPr>
        <w:pStyle w:val="FSBullet1"/>
        <w:spacing w:after="240"/>
        <w:ind w:left="499" w:hanging="357"/>
      </w:pPr>
      <w:r w:rsidRPr="00914AE9">
        <w:t>Margarines (solid &amp; liquid only), &lt;80% fat</w:t>
      </w:r>
      <w:r>
        <w:t xml:space="preserve"> (</w:t>
      </w:r>
      <w:r w:rsidR="00AD0A38">
        <w:t>6-</w:t>
      </w:r>
      <w:r>
        <w:t>7%)</w:t>
      </w:r>
      <w:r w:rsidRPr="00914AE9">
        <w:t>.</w:t>
      </w:r>
    </w:p>
    <w:p w14:paraId="71965527" w14:textId="7A5B1831" w:rsidR="00135C14" w:rsidRPr="004C731A" w:rsidRDefault="00135C14" w:rsidP="004C731A">
      <w:r w:rsidRPr="004C731A">
        <w:t>Further details can be found in</w:t>
      </w:r>
      <w:r w:rsidR="004C731A" w:rsidRPr="004C731A">
        <w:t xml:space="preserve"> </w:t>
      </w:r>
      <w:r w:rsidR="004C731A" w:rsidRPr="004C731A">
        <w:fldChar w:fldCharType="begin"/>
      </w:r>
      <w:r w:rsidR="004C731A" w:rsidRPr="004C731A">
        <w:instrText xml:space="preserve"> REF _Ref524599201 \h  \* MERGEFORMAT </w:instrText>
      </w:r>
      <w:r w:rsidR="004C731A" w:rsidRPr="004C731A">
        <w:fldChar w:fldCharType="separate"/>
      </w:r>
      <w:r w:rsidR="004C731A" w:rsidRPr="004C731A">
        <w:t>Figure 4.</w:t>
      </w:r>
      <w:r w:rsidR="004C731A" w:rsidRPr="004C731A">
        <w:rPr>
          <w:noProof/>
        </w:rPr>
        <w:t>4</w:t>
      </w:r>
      <w:r w:rsidR="004C731A" w:rsidRPr="004C731A">
        <w:fldChar w:fldCharType="end"/>
      </w:r>
      <w:r w:rsidR="004C731A" w:rsidRPr="004C731A">
        <w:t xml:space="preserve"> and </w:t>
      </w:r>
      <w:r w:rsidR="004C731A" w:rsidRPr="004C731A">
        <w:fldChar w:fldCharType="begin"/>
      </w:r>
      <w:r w:rsidR="004C731A" w:rsidRPr="004C731A">
        <w:instrText xml:space="preserve"> REF _Ref524599202 \h  \* MERGEFORMAT </w:instrText>
      </w:r>
      <w:r w:rsidR="004C731A" w:rsidRPr="004C731A">
        <w:fldChar w:fldCharType="end"/>
      </w:r>
      <w:r w:rsidR="000C2D14">
        <w:t xml:space="preserve"> </w:t>
      </w:r>
      <w:r w:rsidR="004C731A" w:rsidRPr="004C731A">
        <w:fldChar w:fldCharType="begin"/>
      </w:r>
      <w:r w:rsidR="004C731A" w:rsidRPr="004C731A">
        <w:instrText xml:space="preserve"> REF _Ref524599203 \h  \* MERGEFORMAT </w:instrText>
      </w:r>
      <w:r w:rsidR="004C731A" w:rsidRPr="004C731A">
        <w:fldChar w:fldCharType="separate"/>
      </w:r>
      <w:r w:rsidR="004C731A" w:rsidRPr="004C731A">
        <w:t>Table 4.</w:t>
      </w:r>
      <w:r w:rsidR="004C731A" w:rsidRPr="004C731A">
        <w:rPr>
          <w:noProof/>
        </w:rPr>
        <w:t>7</w:t>
      </w:r>
      <w:r w:rsidR="004C731A" w:rsidRPr="004C731A">
        <w:fldChar w:fldCharType="end"/>
      </w:r>
      <w:r w:rsidRPr="004C731A">
        <w:t>.</w:t>
      </w:r>
    </w:p>
    <w:p w14:paraId="6E3EE61F" w14:textId="621797B4" w:rsidR="0097427E" w:rsidRPr="00914AE9" w:rsidRDefault="00116401" w:rsidP="00116401">
      <w:pPr>
        <w:pStyle w:val="FSCh4Div"/>
        <w:ind w:left="851" w:hanging="851"/>
      </w:pPr>
      <w:bookmarkStart w:id="219" w:name="_Toc516668847"/>
      <w:r>
        <w:t>4.4.2</w:t>
      </w:r>
      <w:r>
        <w:tab/>
      </w:r>
      <w:r w:rsidR="0097427E" w:rsidRPr="00914AE9">
        <w:t>New Zealanders aged 15 years and above</w:t>
      </w:r>
      <w:bookmarkEnd w:id="219"/>
    </w:p>
    <w:p w14:paraId="7E0F181D" w14:textId="2C31F917" w:rsidR="0097427E" w:rsidRPr="00914AE9" w:rsidRDefault="00DE0C4F" w:rsidP="00116401">
      <w:pPr>
        <w:pStyle w:val="Heading5"/>
        <w:keepNext w:val="0"/>
        <w:widowControl/>
        <w:spacing w:after="120"/>
      </w:pPr>
      <w:r>
        <w:t>4.4.2.1</w:t>
      </w:r>
      <w:r>
        <w:tab/>
      </w:r>
      <w:r w:rsidR="0097427E">
        <w:t>MPL</w:t>
      </w:r>
      <w:r w:rsidR="0097427E" w:rsidRPr="00914AE9">
        <w:t xml:space="preserve"> scenarios</w:t>
      </w:r>
    </w:p>
    <w:p w14:paraId="241CFD42" w14:textId="77777777" w:rsidR="0097427E" w:rsidRDefault="0097427E" w:rsidP="0097427E">
      <w:r w:rsidRPr="00144612">
        <w:t>For the</w:t>
      </w:r>
      <w:r>
        <w:t xml:space="preserve"> MPL scenarios,</w:t>
      </w:r>
      <w:r w:rsidRPr="00144612">
        <w:t xml:space="preserve"> </w:t>
      </w:r>
      <w:r>
        <w:t>(</w:t>
      </w:r>
      <w:r w:rsidRPr="00144612">
        <w:rPr>
          <w:i/>
        </w:rPr>
        <w:t>Added rosemary extract only_MPL</w:t>
      </w:r>
      <w:r w:rsidRPr="00144612">
        <w:t xml:space="preserve"> and the </w:t>
      </w:r>
      <w:r w:rsidRPr="00144612">
        <w:rPr>
          <w:i/>
        </w:rPr>
        <w:t>Naturally-occurring plus added rosemary extract_MPL</w:t>
      </w:r>
      <w:r>
        <w:t>)</w:t>
      </w:r>
      <w:r w:rsidRPr="00144612">
        <w:t xml:space="preserve">, the major contributing food groups to dietary exposures for New Zealanders aged 15 years and above are: </w:t>
      </w:r>
    </w:p>
    <w:p w14:paraId="072C9609" w14:textId="0544154F" w:rsidR="0097427E" w:rsidRDefault="0097427E" w:rsidP="0097427E">
      <w:pPr>
        <w:pStyle w:val="FSBullet1"/>
      </w:pPr>
      <w:r w:rsidRPr="00144612">
        <w:t>Sauces &amp; toppings (including mayonnaise and salad dressings) (4</w:t>
      </w:r>
      <w:r w:rsidR="00AD0A38">
        <w:t>0-41</w:t>
      </w:r>
      <w:r>
        <w:t>%)</w:t>
      </w:r>
    </w:p>
    <w:p w14:paraId="54848E91" w14:textId="2DA233BD" w:rsidR="0097427E" w:rsidRDefault="0097427E" w:rsidP="0097427E">
      <w:pPr>
        <w:pStyle w:val="FSBullet1"/>
      </w:pPr>
      <w:r w:rsidRPr="00144612">
        <w:t>Grain bars, breakf</w:t>
      </w:r>
      <w:r w:rsidR="00AD0A38">
        <w:t>ast bars, breakfast cereals (20</w:t>
      </w:r>
      <w:r>
        <w:t>%)</w:t>
      </w:r>
    </w:p>
    <w:p w14:paraId="7C5E2C76" w14:textId="32EEC167" w:rsidR="0097427E" w:rsidRDefault="0097427E" w:rsidP="0097427E">
      <w:pPr>
        <w:pStyle w:val="FSBullet1"/>
      </w:pPr>
      <w:r w:rsidRPr="00144612">
        <w:t>Margarines (sol</w:t>
      </w:r>
      <w:r w:rsidR="00AD0A38">
        <w:t>id &amp; liquid only), &lt;80% fat (11</w:t>
      </w:r>
      <w:r w:rsidRPr="00144612">
        <w:t>%</w:t>
      </w:r>
      <w:r>
        <w:t>)</w:t>
      </w:r>
    </w:p>
    <w:p w14:paraId="43DC9843" w14:textId="1DF0AF2E" w:rsidR="0097427E" w:rsidRDefault="0097427E" w:rsidP="0097427E">
      <w:pPr>
        <w:pStyle w:val="FSBullet1"/>
      </w:pPr>
      <w:r w:rsidRPr="00144612">
        <w:t>Cookies, pancakes, waffles, sweet pastries (rolls, doughnuts, muffins) (</w:t>
      </w:r>
      <w:r w:rsidR="00AD0A38">
        <w:t>10-</w:t>
      </w:r>
      <w:r w:rsidRPr="00144612">
        <w:t>11%)</w:t>
      </w:r>
      <w:r>
        <w:t>; and</w:t>
      </w:r>
    </w:p>
    <w:p w14:paraId="00CA23AD" w14:textId="77777777" w:rsidR="0097427E" w:rsidRPr="00144612" w:rsidRDefault="0097427E" w:rsidP="0097427E">
      <w:pPr>
        <w:pStyle w:val="FSBullet1"/>
        <w:spacing w:after="240"/>
        <w:ind w:left="499" w:hanging="357"/>
      </w:pPr>
      <w:r w:rsidRPr="00144612">
        <w:t>Processed meat, poultry &amp; game in whole cuts or pieces –fat content &gt;10% fat (5%).</w:t>
      </w:r>
    </w:p>
    <w:p w14:paraId="69406F32" w14:textId="5086092A" w:rsidR="00DE0C4F" w:rsidRPr="00122C43" w:rsidRDefault="0097427E" w:rsidP="00122C43">
      <w:pPr>
        <w:pStyle w:val="FSFigureTitle"/>
        <w:keepNext/>
        <w:keepLines/>
        <w:rPr>
          <w:i w:val="0"/>
        </w:rPr>
      </w:pPr>
      <w:r w:rsidRPr="00122C43">
        <w:rPr>
          <w:i w:val="0"/>
        </w:rPr>
        <w:t xml:space="preserve">Further details can be found in </w:t>
      </w:r>
      <w:r w:rsidR="00122C43" w:rsidRPr="00122C43">
        <w:rPr>
          <w:i w:val="0"/>
        </w:rPr>
        <w:fldChar w:fldCharType="begin"/>
      </w:r>
      <w:r w:rsidR="00122C43" w:rsidRPr="00122C43">
        <w:rPr>
          <w:i w:val="0"/>
        </w:rPr>
        <w:instrText xml:space="preserve"> REF _Ref524595216 \h </w:instrText>
      </w:r>
      <w:r w:rsidR="00122C43">
        <w:rPr>
          <w:i w:val="0"/>
        </w:rPr>
        <w:instrText xml:space="preserve"> \* MERGEFORMAT </w:instrText>
      </w:r>
      <w:r w:rsidR="00122C43" w:rsidRPr="00122C43">
        <w:rPr>
          <w:i w:val="0"/>
        </w:rPr>
      </w:r>
      <w:r w:rsidR="00122C43" w:rsidRPr="00122C43">
        <w:rPr>
          <w:i w:val="0"/>
        </w:rPr>
        <w:fldChar w:fldCharType="separate"/>
      </w:r>
      <w:r w:rsidR="004C731A" w:rsidRPr="004C731A">
        <w:rPr>
          <w:i w:val="0"/>
        </w:rPr>
        <w:t>Figure 4.3</w:t>
      </w:r>
      <w:r w:rsidR="00122C43" w:rsidRPr="00122C43">
        <w:rPr>
          <w:i w:val="0"/>
        </w:rPr>
        <w:fldChar w:fldCharType="end"/>
      </w:r>
      <w:r w:rsidR="00122C43" w:rsidRPr="00122C43">
        <w:rPr>
          <w:i w:val="0"/>
        </w:rPr>
        <w:t xml:space="preserve"> </w:t>
      </w:r>
      <w:r w:rsidRPr="00122C43">
        <w:rPr>
          <w:i w:val="0"/>
        </w:rPr>
        <w:t xml:space="preserve">and </w:t>
      </w:r>
      <w:r w:rsidRPr="00122C43">
        <w:rPr>
          <w:i w:val="0"/>
        </w:rPr>
        <w:fldChar w:fldCharType="begin"/>
      </w:r>
      <w:r w:rsidRPr="00122C43">
        <w:rPr>
          <w:i w:val="0"/>
        </w:rPr>
        <w:instrText xml:space="preserve"> REF _Ref516069654 \h </w:instrText>
      </w:r>
      <w:r w:rsidR="00122C43">
        <w:rPr>
          <w:i w:val="0"/>
        </w:rPr>
        <w:instrText xml:space="preserve"> \* MERGEFORMAT </w:instrText>
      </w:r>
      <w:r w:rsidRPr="00122C43">
        <w:rPr>
          <w:i w:val="0"/>
        </w:rPr>
      </w:r>
      <w:r w:rsidRPr="00122C43">
        <w:rPr>
          <w:i w:val="0"/>
        </w:rPr>
        <w:fldChar w:fldCharType="separate"/>
      </w:r>
      <w:r w:rsidR="004C731A" w:rsidRPr="00B748C3">
        <w:rPr>
          <w:i w:val="0"/>
        </w:rPr>
        <w:t>Table 4.</w:t>
      </w:r>
      <w:r w:rsidR="004C731A">
        <w:rPr>
          <w:i w:val="0"/>
        </w:rPr>
        <w:t>6</w:t>
      </w:r>
      <w:r w:rsidRPr="00122C43">
        <w:rPr>
          <w:i w:val="0"/>
        </w:rPr>
        <w:fldChar w:fldCharType="end"/>
      </w:r>
      <w:r w:rsidR="00324433" w:rsidRPr="00122C43">
        <w:rPr>
          <w:i w:val="0"/>
        </w:rPr>
        <w:t>.</w:t>
      </w:r>
    </w:p>
    <w:p w14:paraId="661BBFDD" w14:textId="2A868C29" w:rsidR="00DE0C4F" w:rsidRDefault="00DE0C4F" w:rsidP="00DE0C4F">
      <w:pPr>
        <w:pStyle w:val="Heading5"/>
        <w:keepNext w:val="0"/>
        <w:widowControl/>
        <w:spacing w:after="120"/>
      </w:pPr>
      <w:r>
        <w:t>4.4.2.2</w:t>
      </w:r>
      <w:r>
        <w:tab/>
      </w:r>
      <w:r w:rsidR="0097427E">
        <w:t>Usual Use</w:t>
      </w:r>
      <w:r w:rsidR="0097427E" w:rsidRPr="00914AE9">
        <w:t xml:space="preserve"> scenarios</w:t>
      </w:r>
    </w:p>
    <w:p w14:paraId="6BDD183D" w14:textId="77777777" w:rsidR="0097427E" w:rsidRDefault="0097427E" w:rsidP="0097427E">
      <w:pPr>
        <w:keepNext/>
        <w:keepLines/>
      </w:pPr>
      <w:r w:rsidRPr="005D5F21">
        <w:t>For the</w:t>
      </w:r>
      <w:r>
        <w:t xml:space="preserve"> Usual Use scenarios</w:t>
      </w:r>
      <w:r w:rsidRPr="005D5F21">
        <w:t xml:space="preserve"> </w:t>
      </w:r>
      <w:r>
        <w:t>(</w:t>
      </w:r>
      <w:r w:rsidRPr="005D5F21">
        <w:rPr>
          <w:i/>
        </w:rPr>
        <w:t>Added rosemary extract only_</w:t>
      </w:r>
      <w:r>
        <w:rPr>
          <w:i/>
        </w:rPr>
        <w:t>Usual Use</w:t>
      </w:r>
      <w:r w:rsidRPr="005D5F21">
        <w:t xml:space="preserve"> and </w:t>
      </w:r>
      <w:r w:rsidRPr="005D5F21">
        <w:rPr>
          <w:i/>
        </w:rPr>
        <w:t>Naturally-occurring plus added rosemary extract_</w:t>
      </w:r>
      <w:r>
        <w:rPr>
          <w:i/>
        </w:rPr>
        <w:t>Usual Use</w:t>
      </w:r>
      <w:r>
        <w:t>)</w:t>
      </w:r>
      <w:r w:rsidRPr="005D5F21">
        <w:t>, the major contributing food groups to dietary exposures for New Zealande</w:t>
      </w:r>
      <w:r>
        <w:t>rs aged 15 years and above are:</w:t>
      </w:r>
    </w:p>
    <w:p w14:paraId="1BF7BF5E" w14:textId="1F92B558" w:rsidR="0097427E" w:rsidRDefault="0097427E" w:rsidP="0097427E">
      <w:pPr>
        <w:pStyle w:val="FSBullet1"/>
      </w:pPr>
      <w:r w:rsidRPr="005D5F21">
        <w:t>Sauces &amp; toppings (including mayonnaise and salad dressings) (3</w:t>
      </w:r>
      <w:r w:rsidR="00AD0A38">
        <w:t>7</w:t>
      </w:r>
      <w:r w:rsidRPr="005D5F21">
        <w:t>-3</w:t>
      </w:r>
      <w:r w:rsidR="00AD0A38">
        <w:t>8</w:t>
      </w:r>
      <w:r w:rsidRPr="005D5F21">
        <w:t>%)</w:t>
      </w:r>
    </w:p>
    <w:p w14:paraId="0A753F82" w14:textId="78A22DEC" w:rsidR="0097427E" w:rsidRDefault="0097427E" w:rsidP="0097427E">
      <w:pPr>
        <w:pStyle w:val="FSBullet1"/>
      </w:pPr>
      <w:r w:rsidRPr="005D5F21">
        <w:t>Grain bars, breakfast bars, breakfast cereals (</w:t>
      </w:r>
      <w:r w:rsidR="00AD0A38">
        <w:t>18-</w:t>
      </w:r>
      <w:r>
        <w:t>19%)</w:t>
      </w:r>
    </w:p>
    <w:p w14:paraId="4F122735" w14:textId="64112D04" w:rsidR="0097427E" w:rsidRDefault="0097427E" w:rsidP="0097427E">
      <w:pPr>
        <w:pStyle w:val="FSBullet1"/>
      </w:pPr>
      <w:r w:rsidRPr="005D5F21">
        <w:t>Margarines (solid &amp; liquid only), &lt;80% fat (</w:t>
      </w:r>
      <w:r w:rsidR="00AD0A38">
        <w:t>16-</w:t>
      </w:r>
      <w:r>
        <w:t>17%)</w:t>
      </w:r>
    </w:p>
    <w:p w14:paraId="0676F2F3" w14:textId="065160D4" w:rsidR="0097427E" w:rsidRDefault="0097427E" w:rsidP="0097427E">
      <w:pPr>
        <w:pStyle w:val="FSBullet1"/>
      </w:pPr>
      <w:r w:rsidRPr="005D5F21">
        <w:t>Cookies, pancakes, waffles, sweet pastries (rolls, doughnuts, muffins)</w:t>
      </w:r>
      <w:r>
        <w:t xml:space="preserve"> (</w:t>
      </w:r>
      <w:r w:rsidR="00AD0A38">
        <w:t>9-</w:t>
      </w:r>
      <w:r>
        <w:t>10</w:t>
      </w:r>
      <w:r w:rsidRPr="005D5F21">
        <w:t>%)</w:t>
      </w:r>
      <w:r>
        <w:t>; and</w:t>
      </w:r>
    </w:p>
    <w:p w14:paraId="0ED85AE5" w14:textId="069474B6" w:rsidR="00DE0C4F" w:rsidRDefault="0097427E" w:rsidP="00DE0C4F">
      <w:pPr>
        <w:pStyle w:val="FSBullet1"/>
        <w:spacing w:after="240"/>
        <w:ind w:left="499" w:hanging="357"/>
      </w:pPr>
      <w:r w:rsidRPr="005D5F21">
        <w:t>Processed meat, poultry &amp; game in whole cuts or pieces –fat content &gt;10% fat (5%).</w:t>
      </w:r>
      <w:bookmarkStart w:id="220" w:name="_Toc516668848"/>
    </w:p>
    <w:p w14:paraId="02DFBC21" w14:textId="4E5BA2F0" w:rsidR="004C731A" w:rsidRPr="004C731A" w:rsidRDefault="004C731A" w:rsidP="004C731A">
      <w:r w:rsidRPr="004C731A">
        <w:t xml:space="preserve">Further details can be found in </w:t>
      </w:r>
      <w:r w:rsidRPr="004C731A">
        <w:fldChar w:fldCharType="begin"/>
      </w:r>
      <w:r w:rsidRPr="004C731A">
        <w:instrText xml:space="preserve"> REF _Ref524599201 \h  \* MERGEFORMAT </w:instrText>
      </w:r>
      <w:r w:rsidRPr="004C731A">
        <w:fldChar w:fldCharType="separate"/>
      </w:r>
      <w:r w:rsidRPr="004C731A">
        <w:t>Figure 4.</w:t>
      </w:r>
      <w:r w:rsidRPr="004C731A">
        <w:rPr>
          <w:noProof/>
        </w:rPr>
        <w:t>4</w:t>
      </w:r>
      <w:r w:rsidRPr="004C731A">
        <w:fldChar w:fldCharType="end"/>
      </w:r>
      <w:r w:rsidRPr="004C731A">
        <w:t xml:space="preserve"> and </w:t>
      </w:r>
      <w:r w:rsidRPr="004C731A">
        <w:fldChar w:fldCharType="begin"/>
      </w:r>
      <w:r w:rsidRPr="004C731A">
        <w:instrText xml:space="preserve"> REF _Ref524599202 \h  \* MERGEFORMAT </w:instrText>
      </w:r>
      <w:r w:rsidRPr="004C731A">
        <w:fldChar w:fldCharType="end"/>
      </w:r>
      <w:r w:rsidRPr="004C731A">
        <w:fldChar w:fldCharType="begin"/>
      </w:r>
      <w:r w:rsidRPr="004C731A">
        <w:instrText xml:space="preserve"> REF _Ref524599203 \h  \* MERGEFORMAT </w:instrText>
      </w:r>
      <w:r w:rsidRPr="004C731A">
        <w:fldChar w:fldCharType="separate"/>
      </w:r>
      <w:r w:rsidRPr="004C731A">
        <w:t>Table 4.</w:t>
      </w:r>
      <w:r w:rsidRPr="004C731A">
        <w:rPr>
          <w:noProof/>
        </w:rPr>
        <w:t>7</w:t>
      </w:r>
      <w:r w:rsidRPr="004C731A">
        <w:fldChar w:fldCharType="end"/>
      </w:r>
      <w:r w:rsidRPr="004C731A">
        <w:t>.</w:t>
      </w:r>
    </w:p>
    <w:bookmarkEnd w:id="220"/>
    <w:p w14:paraId="66BCC1B3" w14:textId="3C92E1A3" w:rsidR="00064C01" w:rsidRPr="00835598" w:rsidRDefault="00064C01" w:rsidP="00064C01"/>
    <w:p w14:paraId="5F36E313" w14:textId="77777777" w:rsidR="0097427E" w:rsidRPr="00914AE9" w:rsidRDefault="0097427E" w:rsidP="0097427E">
      <w:pPr>
        <w:rPr>
          <w:highlight w:val="yellow"/>
        </w:rPr>
        <w:sectPr w:rsidR="0097427E" w:rsidRPr="00914AE9" w:rsidSect="00887453">
          <w:pgSz w:w="11906" w:h="16838"/>
          <w:pgMar w:top="1418" w:right="1418" w:bottom="1418" w:left="1418" w:header="709" w:footer="709" w:gutter="0"/>
          <w:cols w:space="708"/>
          <w:docGrid w:linePitch="360"/>
        </w:sectPr>
      </w:pPr>
    </w:p>
    <w:p w14:paraId="57B22C36" w14:textId="283CC5D0" w:rsidR="0097427E" w:rsidRPr="00B748C3" w:rsidRDefault="0097427E" w:rsidP="00B748C3">
      <w:pPr>
        <w:pStyle w:val="FSTableTitle"/>
        <w:spacing w:after="120"/>
        <w:rPr>
          <w:i/>
        </w:rPr>
      </w:pPr>
      <w:bookmarkStart w:id="221" w:name="_Ref516069654"/>
      <w:bookmarkStart w:id="222" w:name="_Ref515961132"/>
      <w:bookmarkStart w:id="223" w:name="_Ref504405447"/>
      <w:bookmarkStart w:id="224" w:name="_Ref504405457"/>
      <w:bookmarkEnd w:id="210"/>
      <w:r w:rsidRPr="00B748C3">
        <w:rPr>
          <w:i/>
        </w:rPr>
        <w:lastRenderedPageBreak/>
        <w:t xml:space="preserve">Table </w:t>
      </w:r>
      <w:r w:rsidR="004F277B" w:rsidRPr="00B748C3">
        <w:rPr>
          <w:i/>
        </w:rPr>
        <w:t>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6</w:t>
      </w:r>
      <w:r w:rsidR="00BD2527" w:rsidRPr="00B748C3">
        <w:rPr>
          <w:i/>
          <w:noProof/>
        </w:rPr>
        <w:fldChar w:fldCharType="end"/>
      </w:r>
      <w:bookmarkEnd w:id="221"/>
      <w:r w:rsidR="00B75459" w:rsidRPr="00B748C3">
        <w:rPr>
          <w:i/>
        </w:rPr>
        <w:t>:</w:t>
      </w:r>
      <w:r w:rsidR="00B75459" w:rsidRPr="00B748C3">
        <w:rPr>
          <w:i/>
        </w:rPr>
        <w:tab/>
      </w:r>
      <w:r w:rsidRPr="00B748C3">
        <w:rPr>
          <w:i/>
        </w:rPr>
        <w:t xml:space="preserve">Food categories (as listed by </w:t>
      </w:r>
      <w:r w:rsidR="005D6D72" w:rsidRPr="00B748C3">
        <w:rPr>
          <w:i/>
        </w:rPr>
        <w:t>a</w:t>
      </w:r>
      <w:r w:rsidRPr="00B748C3">
        <w:rPr>
          <w:i/>
        </w:rPr>
        <w:t xml:space="preserve">pplicant) and their contribution to estimated dietary </w:t>
      </w:r>
      <w:r w:rsidR="00DE0C4F" w:rsidRPr="00B748C3">
        <w:rPr>
          <w:i/>
        </w:rPr>
        <w:t xml:space="preserve">exposures to </w:t>
      </w:r>
      <w:r w:rsidR="0048026B" w:rsidRPr="00B748C3">
        <w:rPr>
          <w:i/>
        </w:rPr>
        <w:t>carnosic acid plus carnosol</w:t>
      </w:r>
      <w:r w:rsidRPr="00B748C3">
        <w:rPr>
          <w:i/>
        </w:rPr>
        <w:t>, for the MPL scenarios</w:t>
      </w:r>
    </w:p>
    <w:tbl>
      <w:tblPr>
        <w:tblpPr w:leftFromText="180" w:rightFromText="180" w:vertAnchor="text" w:tblpX="-5" w:tblpY="1"/>
        <w:tblOverlap w:val="never"/>
        <w:tblW w:w="14879" w:type="dxa"/>
        <w:tblLayout w:type="fixed"/>
        <w:tblLook w:val="04A0" w:firstRow="1" w:lastRow="0" w:firstColumn="1" w:lastColumn="0" w:noHBand="0" w:noVBand="1"/>
        <w:tblDescription w:val="Contributing food categories to Carnosic acid plus Carnosol dietary exposures for all Australian and New Zealand population groups for all scenarios. In the Naturally occurring scenario, Rosemary is the only contributor. In the Added rosemary extract only scenario and the Naturally-occurring plus added rosemary extract scenario, the major contributing food group for all population groups is Sauces &amp; toppings (including mayonnaise and salad dressings)"/>
      </w:tblPr>
      <w:tblGrid>
        <w:gridCol w:w="2835"/>
        <w:gridCol w:w="1271"/>
        <w:gridCol w:w="1276"/>
        <w:gridCol w:w="1417"/>
        <w:gridCol w:w="1276"/>
        <w:gridCol w:w="1276"/>
        <w:gridCol w:w="1559"/>
        <w:gridCol w:w="1276"/>
        <w:gridCol w:w="1276"/>
        <w:gridCol w:w="1417"/>
      </w:tblGrid>
      <w:tr w:rsidR="0097427E" w:rsidRPr="00575F8E" w14:paraId="79B4D300" w14:textId="77777777" w:rsidTr="00122C43">
        <w:trPr>
          <w:trHeight w:val="300"/>
          <w:tblHeader/>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14:paraId="69570B6D" w14:textId="0C896040" w:rsidR="0097427E" w:rsidRPr="00E9707E" w:rsidRDefault="0097427E" w:rsidP="00706994">
            <w:pPr>
              <w:keepNext/>
              <w:keepLines/>
              <w:rPr>
                <w:rFonts w:cs="Arial"/>
                <w:b/>
                <w:color w:val="000000"/>
                <w:sz w:val="20"/>
                <w:szCs w:val="20"/>
                <w:lang w:eastAsia="en-GB"/>
              </w:rPr>
            </w:pPr>
            <w:r w:rsidRPr="00E9707E">
              <w:rPr>
                <w:rFonts w:cs="Arial"/>
                <w:b/>
                <w:color w:val="000000"/>
                <w:sz w:val="20"/>
                <w:szCs w:val="20"/>
                <w:lang w:eastAsia="en-GB"/>
              </w:rPr>
              <w:t xml:space="preserve">Food category as requested by </w:t>
            </w:r>
            <w:r w:rsidR="005D6D72">
              <w:rPr>
                <w:rFonts w:cs="Arial"/>
                <w:b/>
                <w:color w:val="000000"/>
                <w:sz w:val="20"/>
                <w:szCs w:val="20"/>
                <w:lang w:eastAsia="en-GB"/>
              </w:rPr>
              <w:t>a</w:t>
            </w:r>
            <w:r w:rsidRPr="00E9707E">
              <w:rPr>
                <w:rFonts w:cs="Arial"/>
                <w:b/>
                <w:color w:val="000000"/>
                <w:sz w:val="20"/>
                <w:szCs w:val="20"/>
                <w:lang w:eastAsia="en-GB"/>
              </w:rPr>
              <w:t>pplicant</w:t>
            </w:r>
          </w:p>
        </w:tc>
        <w:tc>
          <w:tcPr>
            <w:tcW w:w="12044" w:type="dxa"/>
            <w:gridSpan w:val="9"/>
            <w:tcBorders>
              <w:top w:val="single" w:sz="4" w:space="0" w:color="auto"/>
              <w:left w:val="nil"/>
              <w:bottom w:val="single" w:sz="4" w:space="0" w:color="auto"/>
              <w:right w:val="single" w:sz="4" w:space="0" w:color="auto"/>
            </w:tcBorders>
            <w:shd w:val="clear" w:color="auto" w:fill="auto"/>
            <w:noWrap/>
            <w:vAlign w:val="center"/>
            <w:hideMark/>
          </w:tcPr>
          <w:p w14:paraId="4B5E3F72" w14:textId="77777777" w:rsidR="0097427E" w:rsidRPr="00E9707E" w:rsidRDefault="0097427E" w:rsidP="00706994">
            <w:pPr>
              <w:keepNext/>
              <w:keepLines/>
              <w:ind w:right="606"/>
              <w:jc w:val="center"/>
              <w:rPr>
                <w:rFonts w:cs="Arial"/>
                <w:b/>
                <w:color w:val="000000"/>
                <w:sz w:val="20"/>
                <w:szCs w:val="20"/>
                <w:lang w:eastAsia="en-GB"/>
              </w:rPr>
            </w:pPr>
            <w:r w:rsidRPr="00E9707E">
              <w:rPr>
                <w:rFonts w:cs="Arial"/>
                <w:b/>
                <w:color w:val="000000"/>
                <w:sz w:val="20"/>
                <w:szCs w:val="20"/>
                <w:lang w:eastAsia="en-GB"/>
              </w:rPr>
              <w:t>% contribution</w:t>
            </w:r>
          </w:p>
        </w:tc>
      </w:tr>
      <w:tr w:rsidR="0097427E" w:rsidRPr="00575F8E" w14:paraId="7A695DAB" w14:textId="77777777" w:rsidTr="00122C43">
        <w:trPr>
          <w:trHeight w:val="300"/>
          <w:tblHeader/>
        </w:trPr>
        <w:tc>
          <w:tcPr>
            <w:tcW w:w="2835" w:type="dxa"/>
            <w:vMerge/>
            <w:tcBorders>
              <w:left w:val="single" w:sz="4" w:space="0" w:color="auto"/>
              <w:right w:val="single" w:sz="4" w:space="0" w:color="auto"/>
            </w:tcBorders>
            <w:shd w:val="clear" w:color="auto" w:fill="auto"/>
            <w:noWrap/>
            <w:vAlign w:val="center"/>
            <w:hideMark/>
          </w:tcPr>
          <w:p w14:paraId="290F97FE" w14:textId="77777777" w:rsidR="0097427E" w:rsidRPr="00E9707E" w:rsidRDefault="0097427E" w:rsidP="00706994">
            <w:pPr>
              <w:keepNext/>
              <w:keepLines/>
              <w:rPr>
                <w:rFonts w:cs="Arial"/>
                <w:b/>
                <w:color w:val="000000"/>
                <w:sz w:val="20"/>
                <w:szCs w:val="20"/>
                <w:lang w:eastAsia="en-GB"/>
              </w:rPr>
            </w:pPr>
          </w:p>
        </w:tc>
        <w:tc>
          <w:tcPr>
            <w:tcW w:w="396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46C1D1"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Australians</w:t>
            </w:r>
          </w:p>
          <w:p w14:paraId="738640E5"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2 years and above</w:t>
            </w:r>
            <w:r w:rsidRPr="00575F8E">
              <w:rPr>
                <w:sz w:val="20"/>
                <w:szCs w:val="16"/>
                <w:vertAlign w:val="superscript"/>
              </w:rPr>
              <w:sym w:font="Wingdings" w:char="F076"/>
            </w: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748675"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New Zealanders</w:t>
            </w:r>
          </w:p>
          <w:p w14:paraId="1156F453"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15 years and above</w:t>
            </w:r>
            <w:r w:rsidRPr="00575F8E">
              <w:rPr>
                <w:sz w:val="20"/>
                <w:szCs w:val="20"/>
                <w:vertAlign w:val="superscript"/>
              </w:rPr>
              <w:sym w:font="Wingdings 3" w:char="F073"/>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E7C202"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New Zealanders</w:t>
            </w:r>
          </w:p>
          <w:p w14:paraId="090AB25D" w14:textId="77777777" w:rsidR="0097427E" w:rsidRPr="00E9707E" w:rsidRDefault="0097427E" w:rsidP="00706994">
            <w:pPr>
              <w:keepNext/>
              <w:keepLines/>
              <w:jc w:val="center"/>
              <w:rPr>
                <w:rFonts w:cs="Arial"/>
                <w:b/>
                <w:color w:val="000000"/>
                <w:sz w:val="20"/>
                <w:szCs w:val="20"/>
                <w:lang w:eastAsia="en-GB"/>
              </w:rPr>
            </w:pPr>
            <w:r w:rsidRPr="00E9707E">
              <w:rPr>
                <w:rFonts w:cs="Arial"/>
                <w:b/>
                <w:color w:val="000000"/>
                <w:sz w:val="20"/>
                <w:szCs w:val="20"/>
                <w:lang w:eastAsia="en-GB"/>
              </w:rPr>
              <w:t>5-14 years</w:t>
            </w:r>
            <w:r w:rsidRPr="00575F8E">
              <w:rPr>
                <w:sz w:val="20"/>
                <w:szCs w:val="20"/>
                <w:vertAlign w:val="superscript"/>
              </w:rPr>
              <w:sym w:font="Wingdings 3" w:char="F073"/>
            </w:r>
          </w:p>
        </w:tc>
      </w:tr>
      <w:tr w:rsidR="00DE0C4F" w:rsidRPr="00575F8E" w14:paraId="448976D3" w14:textId="77777777" w:rsidTr="00122C43">
        <w:trPr>
          <w:trHeight w:val="765"/>
          <w:tblHeader/>
        </w:trPr>
        <w:tc>
          <w:tcPr>
            <w:tcW w:w="2835" w:type="dxa"/>
            <w:vMerge/>
            <w:tcBorders>
              <w:left w:val="single" w:sz="4" w:space="0" w:color="auto"/>
              <w:bottom w:val="single" w:sz="4" w:space="0" w:color="auto"/>
              <w:right w:val="single" w:sz="4" w:space="0" w:color="auto"/>
            </w:tcBorders>
            <w:shd w:val="clear" w:color="auto" w:fill="auto"/>
            <w:noWrap/>
            <w:vAlign w:val="center"/>
            <w:hideMark/>
          </w:tcPr>
          <w:p w14:paraId="373B58B1" w14:textId="77777777" w:rsidR="0097427E" w:rsidRPr="00E9707E" w:rsidRDefault="0097427E" w:rsidP="00706994">
            <w:pPr>
              <w:keepNext/>
              <w:keepLines/>
              <w:rPr>
                <w:rFonts w:cs="Arial"/>
                <w:b/>
                <w:color w:val="000000"/>
                <w:sz w:val="20"/>
                <w:szCs w:val="20"/>
                <w:lang w:eastAsia="en-GB"/>
              </w:rPr>
            </w:pPr>
          </w:p>
        </w:tc>
        <w:tc>
          <w:tcPr>
            <w:tcW w:w="1271" w:type="dxa"/>
            <w:tcBorders>
              <w:top w:val="nil"/>
              <w:left w:val="nil"/>
              <w:bottom w:val="single" w:sz="4" w:space="0" w:color="auto"/>
              <w:right w:val="single" w:sz="4" w:space="0" w:color="auto"/>
            </w:tcBorders>
            <w:shd w:val="clear" w:color="auto" w:fill="auto"/>
            <w:vAlign w:val="center"/>
            <w:hideMark/>
          </w:tcPr>
          <w:p w14:paraId="7AC6439B"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231C9230" w14:textId="124B2BA0"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w:t>
            </w:r>
            <w:r w:rsidR="00DE0C4F" w:rsidRPr="00E9707E">
              <w:rPr>
                <w:rFonts w:cs="Arial"/>
                <w:b/>
                <w:i/>
                <w:sz w:val="20"/>
                <w:szCs w:val="20"/>
                <w:lang w:eastAsia="en-GB"/>
              </w:rPr>
              <w:t>_</w:t>
            </w:r>
            <w:r w:rsidRPr="00E9707E">
              <w:rPr>
                <w:rFonts w:cs="Arial"/>
                <w:b/>
                <w:i/>
                <w:sz w:val="20"/>
                <w:szCs w:val="20"/>
                <w:lang w:eastAsia="en-GB"/>
              </w:rPr>
              <w:t>MPL</w:t>
            </w:r>
          </w:p>
        </w:tc>
        <w:tc>
          <w:tcPr>
            <w:tcW w:w="1417" w:type="dxa"/>
            <w:tcBorders>
              <w:top w:val="nil"/>
              <w:left w:val="nil"/>
              <w:bottom w:val="single" w:sz="4" w:space="0" w:color="auto"/>
              <w:right w:val="single" w:sz="4" w:space="0" w:color="auto"/>
            </w:tcBorders>
            <w:shd w:val="clear" w:color="auto" w:fill="auto"/>
            <w:vAlign w:val="center"/>
            <w:hideMark/>
          </w:tcPr>
          <w:p w14:paraId="7EE73CBE" w14:textId="0BB7B360"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 plus added rosemary extract</w:t>
            </w:r>
            <w:r w:rsidR="00DE0C4F" w:rsidRPr="00E9707E">
              <w:rPr>
                <w:rFonts w:cs="Arial"/>
                <w:b/>
                <w:i/>
                <w:sz w:val="20"/>
                <w:szCs w:val="20"/>
                <w:lang w:eastAsia="en-GB"/>
              </w:rPr>
              <w:t>_</w:t>
            </w:r>
            <w:r w:rsidRPr="00E9707E">
              <w:rPr>
                <w:rFonts w:cs="Arial"/>
                <w:b/>
                <w:i/>
                <w:sz w:val="20"/>
                <w:szCs w:val="20"/>
                <w:lang w:eastAsia="en-GB"/>
              </w:rPr>
              <w:t>MPL</w:t>
            </w:r>
          </w:p>
        </w:tc>
        <w:tc>
          <w:tcPr>
            <w:tcW w:w="1276" w:type="dxa"/>
            <w:tcBorders>
              <w:top w:val="nil"/>
              <w:left w:val="nil"/>
              <w:bottom w:val="single" w:sz="4" w:space="0" w:color="auto"/>
              <w:right w:val="single" w:sz="4" w:space="0" w:color="auto"/>
            </w:tcBorders>
            <w:shd w:val="clear" w:color="auto" w:fill="auto"/>
            <w:vAlign w:val="center"/>
            <w:hideMark/>
          </w:tcPr>
          <w:p w14:paraId="08123CFD"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3EBA620B"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only_MPL</w:t>
            </w:r>
          </w:p>
        </w:tc>
        <w:tc>
          <w:tcPr>
            <w:tcW w:w="1559" w:type="dxa"/>
            <w:tcBorders>
              <w:top w:val="nil"/>
              <w:left w:val="nil"/>
              <w:bottom w:val="single" w:sz="4" w:space="0" w:color="auto"/>
              <w:right w:val="single" w:sz="4" w:space="0" w:color="auto"/>
            </w:tcBorders>
            <w:shd w:val="clear" w:color="auto" w:fill="auto"/>
            <w:vAlign w:val="center"/>
            <w:hideMark/>
          </w:tcPr>
          <w:p w14:paraId="0EE7D953" w14:textId="4667A7DC" w:rsidR="0097427E" w:rsidRPr="00E9707E" w:rsidRDefault="0097427E" w:rsidP="00D4341D">
            <w:pPr>
              <w:keepNext/>
              <w:keepLines/>
              <w:jc w:val="center"/>
              <w:rPr>
                <w:rFonts w:cs="Arial"/>
                <w:b/>
                <w:i/>
                <w:sz w:val="20"/>
                <w:szCs w:val="20"/>
                <w:lang w:eastAsia="en-GB"/>
              </w:rPr>
            </w:pPr>
            <w:r w:rsidRPr="00E9707E">
              <w:rPr>
                <w:rFonts w:cs="Arial"/>
                <w:b/>
                <w:i/>
                <w:sz w:val="20"/>
                <w:szCs w:val="20"/>
                <w:lang w:eastAsia="en-GB"/>
              </w:rPr>
              <w:t>Naturally-occurring plus added rosemary extract_MPL</w:t>
            </w:r>
          </w:p>
        </w:tc>
        <w:tc>
          <w:tcPr>
            <w:tcW w:w="1276" w:type="dxa"/>
            <w:tcBorders>
              <w:top w:val="nil"/>
              <w:left w:val="nil"/>
              <w:bottom w:val="single" w:sz="4" w:space="0" w:color="auto"/>
              <w:right w:val="single" w:sz="4" w:space="0" w:color="auto"/>
            </w:tcBorders>
            <w:shd w:val="clear" w:color="auto" w:fill="auto"/>
            <w:vAlign w:val="center"/>
            <w:hideMark/>
          </w:tcPr>
          <w:p w14:paraId="6F88EEA9"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7338BB5C" w14:textId="77777777"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Added rosemary extract only_MPL</w:t>
            </w:r>
          </w:p>
        </w:tc>
        <w:tc>
          <w:tcPr>
            <w:tcW w:w="1417" w:type="dxa"/>
            <w:tcBorders>
              <w:top w:val="nil"/>
              <w:left w:val="nil"/>
              <w:bottom w:val="single" w:sz="4" w:space="0" w:color="auto"/>
              <w:right w:val="single" w:sz="4" w:space="0" w:color="auto"/>
            </w:tcBorders>
            <w:shd w:val="clear" w:color="auto" w:fill="auto"/>
            <w:vAlign w:val="center"/>
            <w:hideMark/>
          </w:tcPr>
          <w:p w14:paraId="482813B9" w14:textId="52A0C5CE" w:rsidR="0097427E" w:rsidRPr="00E9707E" w:rsidRDefault="0097427E" w:rsidP="00706994">
            <w:pPr>
              <w:keepNext/>
              <w:keepLines/>
              <w:jc w:val="center"/>
              <w:rPr>
                <w:rFonts w:cs="Arial"/>
                <w:b/>
                <w:i/>
                <w:sz w:val="20"/>
                <w:szCs w:val="20"/>
                <w:lang w:eastAsia="en-GB"/>
              </w:rPr>
            </w:pPr>
            <w:r w:rsidRPr="00E9707E">
              <w:rPr>
                <w:rFonts w:cs="Arial"/>
                <w:b/>
                <w:i/>
                <w:sz w:val="20"/>
                <w:szCs w:val="20"/>
                <w:lang w:eastAsia="en-GB"/>
              </w:rPr>
              <w:t>Naturally-occurring plus added rosemary extract</w:t>
            </w:r>
            <w:r w:rsidR="00DE0C4F" w:rsidRPr="00E9707E">
              <w:rPr>
                <w:rFonts w:cs="Arial"/>
                <w:b/>
                <w:i/>
                <w:sz w:val="20"/>
                <w:szCs w:val="20"/>
                <w:lang w:eastAsia="en-GB"/>
              </w:rPr>
              <w:t>_</w:t>
            </w:r>
            <w:r w:rsidRPr="00E9707E">
              <w:rPr>
                <w:rFonts w:cs="Arial"/>
                <w:b/>
                <w:i/>
                <w:sz w:val="20"/>
                <w:szCs w:val="20"/>
                <w:lang w:eastAsia="en-GB"/>
              </w:rPr>
              <w:t>MPL</w:t>
            </w:r>
          </w:p>
        </w:tc>
      </w:tr>
      <w:tr w:rsidR="00DE0C4F" w:rsidRPr="00914AE9" w14:paraId="0EE83272" w14:textId="77777777" w:rsidTr="00122C43">
        <w:trPr>
          <w:trHeight w:val="227"/>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05597"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Fish &amp; algal oils</w:t>
            </w:r>
          </w:p>
        </w:tc>
        <w:tc>
          <w:tcPr>
            <w:tcW w:w="1271" w:type="dxa"/>
            <w:tcBorders>
              <w:top w:val="single" w:sz="4" w:space="0" w:color="auto"/>
              <w:left w:val="nil"/>
              <w:bottom w:val="single" w:sz="4" w:space="0" w:color="auto"/>
              <w:right w:val="single" w:sz="4" w:space="0" w:color="auto"/>
            </w:tcBorders>
            <w:shd w:val="clear" w:color="auto" w:fill="auto"/>
            <w:noWrap/>
            <w:vAlign w:val="center"/>
          </w:tcPr>
          <w:p w14:paraId="6A0072FF"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48851E"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F2799A1"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3D8524"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296CC6"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3ED8B3"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0C0CAA"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4EB418"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D5FCA7E" w14:textId="77777777" w:rsidR="0097427E" w:rsidRPr="00E9707E" w:rsidRDefault="0097427E" w:rsidP="00706994">
            <w:pPr>
              <w:keepNext/>
              <w:keepLines/>
              <w:tabs>
                <w:tab w:val="decimal" w:pos="567"/>
              </w:tabs>
              <w:spacing w:before="40" w:after="40"/>
              <w:rPr>
                <w:rFonts w:cs="Arial"/>
                <w:color w:val="000000"/>
                <w:sz w:val="20"/>
                <w:szCs w:val="20"/>
              </w:rPr>
            </w:pPr>
            <w:r w:rsidRPr="00E9707E">
              <w:rPr>
                <w:rFonts w:cs="Arial"/>
                <w:color w:val="000000"/>
                <w:sz w:val="20"/>
                <w:szCs w:val="20"/>
              </w:rPr>
              <w:t>0</w:t>
            </w:r>
          </w:p>
        </w:tc>
      </w:tr>
      <w:tr w:rsidR="00DE0C4F" w:rsidRPr="00914AE9" w14:paraId="04591941"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7CE3FDD3"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Margarines (solid &amp; liquid only), &lt;80% fat</w:t>
            </w:r>
          </w:p>
        </w:tc>
        <w:tc>
          <w:tcPr>
            <w:tcW w:w="1271" w:type="dxa"/>
            <w:tcBorders>
              <w:top w:val="nil"/>
              <w:left w:val="nil"/>
              <w:bottom w:val="single" w:sz="4" w:space="0" w:color="auto"/>
              <w:right w:val="single" w:sz="4" w:space="0" w:color="auto"/>
            </w:tcBorders>
            <w:shd w:val="clear" w:color="auto" w:fill="auto"/>
            <w:noWrap/>
            <w:vAlign w:val="center"/>
            <w:hideMark/>
          </w:tcPr>
          <w:p w14:paraId="518D939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64F9E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1FD4D7A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center"/>
            <w:hideMark/>
          </w:tcPr>
          <w:p w14:paraId="43622AB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80D6A6D" w14:textId="0CD3ED61"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25B89710"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58814E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4095F44C" w14:textId="7CD4DF6C"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9</w:t>
            </w:r>
          </w:p>
        </w:tc>
        <w:tc>
          <w:tcPr>
            <w:tcW w:w="1417" w:type="dxa"/>
            <w:tcBorders>
              <w:top w:val="nil"/>
              <w:left w:val="nil"/>
              <w:bottom w:val="single" w:sz="4" w:space="0" w:color="auto"/>
              <w:right w:val="single" w:sz="4" w:space="0" w:color="auto"/>
            </w:tcBorders>
            <w:shd w:val="clear" w:color="000000" w:fill="D9D9D9"/>
            <w:noWrap/>
            <w:vAlign w:val="center"/>
            <w:hideMark/>
          </w:tcPr>
          <w:p w14:paraId="53C9EB6A" w14:textId="736B86F5"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9</w:t>
            </w:r>
          </w:p>
        </w:tc>
      </w:tr>
      <w:tr w:rsidR="00DE0C4F" w:rsidRPr="00914AE9" w14:paraId="6B9D3717"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92A7A9F"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Nut butters &amp; nut spreads</w:t>
            </w:r>
          </w:p>
        </w:tc>
        <w:tc>
          <w:tcPr>
            <w:tcW w:w="1271" w:type="dxa"/>
            <w:tcBorders>
              <w:top w:val="nil"/>
              <w:left w:val="nil"/>
              <w:bottom w:val="single" w:sz="4" w:space="0" w:color="auto"/>
              <w:right w:val="single" w:sz="4" w:space="0" w:color="auto"/>
            </w:tcBorders>
            <w:shd w:val="clear" w:color="auto" w:fill="auto"/>
            <w:noWrap/>
            <w:vAlign w:val="center"/>
            <w:hideMark/>
          </w:tcPr>
          <w:p w14:paraId="1DAF25D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4A86A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3D1CE30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83E510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B6FF9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6C78F8D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7EFED0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A6629E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C62211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74E9632"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9575A3B"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Icings &amp; frostings, glazes &amp; fillings</w:t>
            </w:r>
          </w:p>
        </w:tc>
        <w:tc>
          <w:tcPr>
            <w:tcW w:w="1271" w:type="dxa"/>
            <w:tcBorders>
              <w:top w:val="nil"/>
              <w:left w:val="nil"/>
              <w:bottom w:val="single" w:sz="4" w:space="0" w:color="auto"/>
              <w:right w:val="single" w:sz="4" w:space="0" w:color="auto"/>
            </w:tcBorders>
            <w:shd w:val="clear" w:color="auto" w:fill="auto"/>
            <w:noWrap/>
            <w:vAlign w:val="center"/>
            <w:hideMark/>
          </w:tcPr>
          <w:p w14:paraId="772D3A0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194D3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6EB4ACF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245C8C7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D84D00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559" w:type="dxa"/>
            <w:tcBorders>
              <w:top w:val="nil"/>
              <w:left w:val="nil"/>
              <w:bottom w:val="single" w:sz="4" w:space="0" w:color="auto"/>
              <w:right w:val="single" w:sz="4" w:space="0" w:color="auto"/>
            </w:tcBorders>
            <w:shd w:val="clear" w:color="auto" w:fill="auto"/>
            <w:noWrap/>
            <w:vAlign w:val="center"/>
            <w:hideMark/>
          </w:tcPr>
          <w:p w14:paraId="3B2E460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94098E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3708D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605B3D6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r w:rsidR="00DE0C4F" w:rsidRPr="00914AE9" w14:paraId="73854059"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CE4BB7B"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Grain bars, breakfast bars, breakfast cereals</w:t>
            </w:r>
          </w:p>
        </w:tc>
        <w:tc>
          <w:tcPr>
            <w:tcW w:w="1271" w:type="dxa"/>
            <w:tcBorders>
              <w:top w:val="nil"/>
              <w:left w:val="nil"/>
              <w:bottom w:val="single" w:sz="4" w:space="0" w:color="auto"/>
              <w:right w:val="single" w:sz="4" w:space="0" w:color="auto"/>
            </w:tcBorders>
            <w:shd w:val="clear" w:color="auto" w:fill="auto"/>
            <w:noWrap/>
            <w:vAlign w:val="center"/>
            <w:hideMark/>
          </w:tcPr>
          <w:p w14:paraId="3DF923D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19DFE35E" w14:textId="68BC5F1A"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24</w:t>
            </w:r>
          </w:p>
        </w:tc>
        <w:tc>
          <w:tcPr>
            <w:tcW w:w="1417" w:type="dxa"/>
            <w:tcBorders>
              <w:top w:val="nil"/>
              <w:left w:val="nil"/>
              <w:bottom w:val="single" w:sz="4" w:space="0" w:color="auto"/>
              <w:right w:val="single" w:sz="4" w:space="0" w:color="auto"/>
            </w:tcBorders>
            <w:shd w:val="clear" w:color="000000" w:fill="D9D9D9"/>
            <w:noWrap/>
            <w:vAlign w:val="center"/>
            <w:hideMark/>
          </w:tcPr>
          <w:p w14:paraId="3D2249D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24</w:t>
            </w:r>
          </w:p>
        </w:tc>
        <w:tc>
          <w:tcPr>
            <w:tcW w:w="1276" w:type="dxa"/>
            <w:tcBorders>
              <w:top w:val="nil"/>
              <w:left w:val="nil"/>
              <w:bottom w:val="single" w:sz="4" w:space="0" w:color="auto"/>
              <w:right w:val="single" w:sz="4" w:space="0" w:color="auto"/>
            </w:tcBorders>
            <w:shd w:val="clear" w:color="auto" w:fill="auto"/>
            <w:noWrap/>
            <w:vAlign w:val="center"/>
            <w:hideMark/>
          </w:tcPr>
          <w:p w14:paraId="67779BE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2A44B0C" w14:textId="482AA705"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20</w:t>
            </w:r>
          </w:p>
        </w:tc>
        <w:tc>
          <w:tcPr>
            <w:tcW w:w="1559" w:type="dxa"/>
            <w:tcBorders>
              <w:top w:val="nil"/>
              <w:left w:val="nil"/>
              <w:bottom w:val="single" w:sz="4" w:space="0" w:color="auto"/>
              <w:right w:val="single" w:sz="4" w:space="0" w:color="auto"/>
            </w:tcBorders>
            <w:shd w:val="clear" w:color="000000" w:fill="D9D9D9"/>
            <w:noWrap/>
            <w:vAlign w:val="center"/>
            <w:hideMark/>
          </w:tcPr>
          <w:p w14:paraId="23E007A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14:paraId="6492EBC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36C4E7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27</w:t>
            </w:r>
          </w:p>
        </w:tc>
        <w:tc>
          <w:tcPr>
            <w:tcW w:w="1417" w:type="dxa"/>
            <w:tcBorders>
              <w:top w:val="nil"/>
              <w:left w:val="nil"/>
              <w:bottom w:val="single" w:sz="4" w:space="0" w:color="auto"/>
              <w:right w:val="single" w:sz="4" w:space="0" w:color="auto"/>
            </w:tcBorders>
            <w:shd w:val="clear" w:color="000000" w:fill="D9D9D9"/>
            <w:noWrap/>
            <w:vAlign w:val="center"/>
            <w:hideMark/>
          </w:tcPr>
          <w:p w14:paraId="1D0C14C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27</w:t>
            </w:r>
          </w:p>
        </w:tc>
      </w:tr>
      <w:tr w:rsidR="00DE0C4F" w:rsidRPr="00914AE9" w14:paraId="40D53C07"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A02896C"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Flour based snacks (e.g. pretzels, crackers)</w:t>
            </w:r>
          </w:p>
        </w:tc>
        <w:tc>
          <w:tcPr>
            <w:tcW w:w="1271" w:type="dxa"/>
            <w:tcBorders>
              <w:top w:val="nil"/>
              <w:left w:val="nil"/>
              <w:bottom w:val="single" w:sz="4" w:space="0" w:color="auto"/>
              <w:right w:val="single" w:sz="4" w:space="0" w:color="auto"/>
            </w:tcBorders>
            <w:shd w:val="clear" w:color="auto" w:fill="auto"/>
            <w:noWrap/>
            <w:vAlign w:val="center"/>
            <w:hideMark/>
          </w:tcPr>
          <w:p w14:paraId="2E5ECE1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614809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5B9560C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0CAF19F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484313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60B09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E63981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DCEF1F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725666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1C9829E"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4F6CB980"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Cookies, pancakes, waffles, sweet pastries (rolls, doughnuts, muffins)</w:t>
            </w:r>
          </w:p>
        </w:tc>
        <w:tc>
          <w:tcPr>
            <w:tcW w:w="1271" w:type="dxa"/>
            <w:tcBorders>
              <w:top w:val="nil"/>
              <w:left w:val="nil"/>
              <w:bottom w:val="single" w:sz="4" w:space="0" w:color="auto"/>
              <w:right w:val="single" w:sz="4" w:space="0" w:color="auto"/>
            </w:tcBorders>
            <w:shd w:val="clear" w:color="auto" w:fill="auto"/>
            <w:noWrap/>
            <w:vAlign w:val="center"/>
            <w:hideMark/>
          </w:tcPr>
          <w:p w14:paraId="19153EF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5F1E416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417" w:type="dxa"/>
            <w:tcBorders>
              <w:top w:val="nil"/>
              <w:left w:val="nil"/>
              <w:bottom w:val="single" w:sz="4" w:space="0" w:color="auto"/>
              <w:right w:val="single" w:sz="4" w:space="0" w:color="auto"/>
            </w:tcBorders>
            <w:shd w:val="clear" w:color="000000" w:fill="D9D9D9"/>
            <w:noWrap/>
            <w:vAlign w:val="center"/>
            <w:hideMark/>
          </w:tcPr>
          <w:p w14:paraId="26C10AC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276" w:type="dxa"/>
            <w:tcBorders>
              <w:top w:val="nil"/>
              <w:left w:val="nil"/>
              <w:bottom w:val="single" w:sz="4" w:space="0" w:color="auto"/>
              <w:right w:val="single" w:sz="4" w:space="0" w:color="auto"/>
            </w:tcBorders>
            <w:shd w:val="clear" w:color="auto" w:fill="auto"/>
            <w:noWrap/>
            <w:vAlign w:val="center"/>
            <w:hideMark/>
          </w:tcPr>
          <w:p w14:paraId="56C74AC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368BE5D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11</w:t>
            </w:r>
          </w:p>
        </w:tc>
        <w:tc>
          <w:tcPr>
            <w:tcW w:w="1559" w:type="dxa"/>
            <w:tcBorders>
              <w:top w:val="nil"/>
              <w:left w:val="nil"/>
              <w:bottom w:val="single" w:sz="4" w:space="0" w:color="auto"/>
              <w:right w:val="single" w:sz="4" w:space="0" w:color="auto"/>
            </w:tcBorders>
            <w:shd w:val="clear" w:color="000000" w:fill="D9D9D9"/>
            <w:noWrap/>
            <w:vAlign w:val="center"/>
            <w:hideMark/>
          </w:tcPr>
          <w:p w14:paraId="2FFD627E" w14:textId="0250EB1F"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6B8392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0474EAD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19</w:t>
            </w:r>
          </w:p>
        </w:tc>
        <w:tc>
          <w:tcPr>
            <w:tcW w:w="1417" w:type="dxa"/>
            <w:tcBorders>
              <w:top w:val="nil"/>
              <w:left w:val="nil"/>
              <w:bottom w:val="single" w:sz="4" w:space="0" w:color="auto"/>
              <w:right w:val="single" w:sz="4" w:space="0" w:color="auto"/>
            </w:tcBorders>
            <w:shd w:val="clear" w:color="000000" w:fill="D9D9D9"/>
            <w:noWrap/>
            <w:vAlign w:val="center"/>
            <w:hideMark/>
          </w:tcPr>
          <w:p w14:paraId="14627FB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19</w:t>
            </w:r>
          </w:p>
        </w:tc>
      </w:tr>
      <w:tr w:rsidR="00DE0C4F" w:rsidRPr="00914AE9" w14:paraId="0A27347C"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AA4AEA8"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meat, poultry &amp; game in whole cuts or pieces –fat content ≤10% fat</w:t>
            </w:r>
          </w:p>
        </w:tc>
        <w:tc>
          <w:tcPr>
            <w:tcW w:w="1271" w:type="dxa"/>
            <w:tcBorders>
              <w:top w:val="nil"/>
              <w:left w:val="nil"/>
              <w:bottom w:val="single" w:sz="4" w:space="0" w:color="auto"/>
              <w:right w:val="single" w:sz="4" w:space="0" w:color="auto"/>
            </w:tcBorders>
            <w:shd w:val="clear" w:color="auto" w:fill="auto"/>
            <w:noWrap/>
            <w:vAlign w:val="center"/>
            <w:hideMark/>
          </w:tcPr>
          <w:p w14:paraId="2ACD32E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1D26B9E3" w14:textId="6B746F52"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14:paraId="71B5F781" w14:textId="1BF89289" w:rsidR="0097427E" w:rsidRPr="00E9707E" w:rsidRDefault="0087518B"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CE4F8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730D5C2" w14:textId="587ADEB0" w:rsidR="0097427E" w:rsidRPr="00E9707E" w:rsidRDefault="0087518B"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14:paraId="178530D8" w14:textId="6BD261F1" w:rsidR="0097427E" w:rsidRPr="00E9707E" w:rsidRDefault="0087518B"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6BAF9F3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B7CE005" w14:textId="3EE486F9"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10AAF936" w14:textId="56532CD9"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r>
      <w:tr w:rsidR="00DE0C4F" w:rsidRPr="00914AE9" w14:paraId="5029BA81"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1D151E70"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meat, poultry &amp; game in whole cuts or pieces –fat content &gt;10% fat</w:t>
            </w:r>
          </w:p>
        </w:tc>
        <w:tc>
          <w:tcPr>
            <w:tcW w:w="1271" w:type="dxa"/>
            <w:tcBorders>
              <w:top w:val="nil"/>
              <w:left w:val="nil"/>
              <w:bottom w:val="single" w:sz="4" w:space="0" w:color="auto"/>
              <w:right w:val="single" w:sz="4" w:space="0" w:color="auto"/>
            </w:tcBorders>
            <w:shd w:val="clear" w:color="auto" w:fill="auto"/>
            <w:noWrap/>
            <w:vAlign w:val="center"/>
            <w:hideMark/>
          </w:tcPr>
          <w:p w14:paraId="4E3D7AA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797ACA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3</w:t>
            </w:r>
          </w:p>
        </w:tc>
        <w:tc>
          <w:tcPr>
            <w:tcW w:w="1417" w:type="dxa"/>
            <w:tcBorders>
              <w:top w:val="nil"/>
              <w:left w:val="nil"/>
              <w:bottom w:val="single" w:sz="4" w:space="0" w:color="auto"/>
              <w:right w:val="single" w:sz="4" w:space="0" w:color="auto"/>
            </w:tcBorders>
            <w:shd w:val="clear" w:color="auto" w:fill="auto"/>
            <w:noWrap/>
            <w:vAlign w:val="center"/>
            <w:hideMark/>
          </w:tcPr>
          <w:p w14:paraId="00C6E41A" w14:textId="4E0777EB" w:rsidR="0097427E" w:rsidRPr="00E9707E" w:rsidRDefault="00C26B74"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692968B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74A372A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5</w:t>
            </w:r>
          </w:p>
        </w:tc>
        <w:tc>
          <w:tcPr>
            <w:tcW w:w="1559" w:type="dxa"/>
            <w:tcBorders>
              <w:top w:val="nil"/>
              <w:left w:val="nil"/>
              <w:bottom w:val="single" w:sz="4" w:space="0" w:color="auto"/>
              <w:right w:val="single" w:sz="4" w:space="0" w:color="auto"/>
            </w:tcBorders>
            <w:shd w:val="clear" w:color="000000" w:fill="D9D9D9"/>
            <w:noWrap/>
            <w:vAlign w:val="center"/>
            <w:hideMark/>
          </w:tcPr>
          <w:p w14:paraId="3D722FC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5</w:t>
            </w:r>
          </w:p>
        </w:tc>
        <w:tc>
          <w:tcPr>
            <w:tcW w:w="1276" w:type="dxa"/>
            <w:tcBorders>
              <w:top w:val="nil"/>
              <w:left w:val="nil"/>
              <w:bottom w:val="single" w:sz="4" w:space="0" w:color="auto"/>
              <w:right w:val="single" w:sz="4" w:space="0" w:color="auto"/>
            </w:tcBorders>
            <w:shd w:val="clear" w:color="auto" w:fill="auto"/>
            <w:noWrap/>
            <w:vAlign w:val="center"/>
            <w:hideMark/>
          </w:tcPr>
          <w:p w14:paraId="609EFD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E651BB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17E53B8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r>
      <w:tr w:rsidR="00DE0C4F" w:rsidRPr="00914AE9" w14:paraId="74D724E5"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E4C87E"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Dried meat</w:t>
            </w:r>
          </w:p>
        </w:tc>
        <w:tc>
          <w:tcPr>
            <w:tcW w:w="1271" w:type="dxa"/>
            <w:tcBorders>
              <w:top w:val="nil"/>
              <w:left w:val="nil"/>
              <w:bottom w:val="single" w:sz="4" w:space="0" w:color="auto"/>
              <w:right w:val="single" w:sz="4" w:space="0" w:color="auto"/>
            </w:tcBorders>
            <w:shd w:val="clear" w:color="auto" w:fill="auto"/>
            <w:noWrap/>
            <w:vAlign w:val="center"/>
            <w:hideMark/>
          </w:tcPr>
          <w:p w14:paraId="42EC7D9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59BC2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4393F3F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1E025FC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C225A52" w14:textId="01C7D6D0" w:rsidR="0097427E" w:rsidRPr="00E9707E" w:rsidRDefault="0087518B"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&lt;</w:t>
            </w:r>
            <w:r w:rsidR="0097427E"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2CEFD8A0" w14:textId="6BF12D8E" w:rsidR="0097427E" w:rsidRPr="00E9707E" w:rsidRDefault="0087518B"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&lt;</w:t>
            </w:r>
            <w:r w:rsidR="0097427E"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08564DF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1FAB0E8" w14:textId="1C3CDECB" w:rsidR="0097427E" w:rsidRPr="00E9707E" w:rsidRDefault="00C26B74"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&lt;</w:t>
            </w:r>
            <w:r w:rsidR="0097427E"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961B7DB" w14:textId="37FAEB1E" w:rsidR="0097427E" w:rsidRPr="00E9707E" w:rsidRDefault="00C26B74"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&lt;</w:t>
            </w:r>
            <w:r w:rsidR="0097427E" w:rsidRPr="00E9707E">
              <w:rPr>
                <w:rFonts w:cs="Arial"/>
                <w:color w:val="000000"/>
                <w:sz w:val="20"/>
                <w:szCs w:val="20"/>
              </w:rPr>
              <w:t>1</w:t>
            </w:r>
          </w:p>
        </w:tc>
      </w:tr>
      <w:tr w:rsidR="00DE0C4F" w:rsidRPr="00914AE9" w14:paraId="6E63543D"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CAF6B4F"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Dried sausages (from raw meat)</w:t>
            </w:r>
          </w:p>
        </w:tc>
        <w:tc>
          <w:tcPr>
            <w:tcW w:w="1271" w:type="dxa"/>
            <w:tcBorders>
              <w:top w:val="nil"/>
              <w:left w:val="nil"/>
              <w:bottom w:val="single" w:sz="4" w:space="0" w:color="auto"/>
              <w:right w:val="single" w:sz="4" w:space="0" w:color="auto"/>
            </w:tcBorders>
            <w:shd w:val="clear" w:color="auto" w:fill="auto"/>
            <w:noWrap/>
            <w:vAlign w:val="center"/>
            <w:hideMark/>
          </w:tcPr>
          <w:p w14:paraId="70B4BB4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6082275A" w14:textId="6F1644F1" w:rsidR="0097427E" w:rsidRPr="00AD0A38" w:rsidRDefault="00AD0A38" w:rsidP="00706994">
            <w:pPr>
              <w:keepNext/>
              <w:keepLines/>
              <w:tabs>
                <w:tab w:val="decimal" w:pos="567"/>
              </w:tabs>
              <w:spacing w:before="40" w:after="40"/>
              <w:rPr>
                <w:rFonts w:cs="Arial"/>
                <w:color w:val="000000"/>
                <w:sz w:val="20"/>
                <w:szCs w:val="20"/>
                <w:lang w:eastAsia="en-GB"/>
              </w:rPr>
            </w:pPr>
            <w:r w:rsidRPr="00AD0A38">
              <w:rPr>
                <w:rFonts w:cs="Arial"/>
                <w:color w:val="000000"/>
                <w:sz w:val="20"/>
                <w:szCs w:val="20"/>
                <w:lang w:eastAsia="en-GB"/>
              </w:rPr>
              <w:t>3</w:t>
            </w:r>
          </w:p>
        </w:tc>
        <w:tc>
          <w:tcPr>
            <w:tcW w:w="1417" w:type="dxa"/>
            <w:tcBorders>
              <w:top w:val="nil"/>
              <w:left w:val="nil"/>
              <w:bottom w:val="single" w:sz="4" w:space="0" w:color="auto"/>
              <w:right w:val="single" w:sz="4" w:space="0" w:color="auto"/>
            </w:tcBorders>
            <w:shd w:val="clear" w:color="auto" w:fill="auto"/>
            <w:noWrap/>
            <w:vAlign w:val="center"/>
            <w:hideMark/>
          </w:tcPr>
          <w:p w14:paraId="7C2C9251" w14:textId="6DF29E77" w:rsidR="0097427E" w:rsidRPr="00AD0A38" w:rsidRDefault="00AD0A38" w:rsidP="00706994">
            <w:pPr>
              <w:keepNext/>
              <w:keepLines/>
              <w:tabs>
                <w:tab w:val="decimal" w:pos="567"/>
              </w:tabs>
              <w:spacing w:before="40" w:after="40"/>
              <w:rPr>
                <w:rFonts w:cs="Arial"/>
                <w:color w:val="000000"/>
                <w:sz w:val="20"/>
                <w:szCs w:val="20"/>
                <w:lang w:eastAsia="en-GB"/>
              </w:rPr>
            </w:pPr>
            <w:r w:rsidRPr="00AD0A38">
              <w:rPr>
                <w:rFonts w:cs="Arial"/>
                <w:color w:val="000000"/>
                <w:sz w:val="20"/>
                <w:szCs w:val="20"/>
                <w:lang w:eastAsia="en-GB"/>
              </w:rPr>
              <w:t>3</w:t>
            </w:r>
          </w:p>
        </w:tc>
        <w:tc>
          <w:tcPr>
            <w:tcW w:w="1276" w:type="dxa"/>
            <w:tcBorders>
              <w:top w:val="nil"/>
              <w:left w:val="nil"/>
              <w:bottom w:val="single" w:sz="4" w:space="0" w:color="auto"/>
              <w:right w:val="single" w:sz="4" w:space="0" w:color="auto"/>
            </w:tcBorders>
            <w:shd w:val="clear" w:color="auto" w:fill="auto"/>
            <w:noWrap/>
            <w:vAlign w:val="center"/>
            <w:hideMark/>
          </w:tcPr>
          <w:p w14:paraId="54F6197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003C0E1A" w14:textId="24F69283"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1AF5B871" w14:textId="74C7C28A"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5FB174F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5E1B6AC" w14:textId="6F724EC6"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2F29B722" w14:textId="1486990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r>
      <w:tr w:rsidR="00DE0C4F" w:rsidRPr="00914AE9" w14:paraId="7F6A697B"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3A38D89"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Salts &amp; condiments</w:t>
            </w:r>
          </w:p>
        </w:tc>
        <w:tc>
          <w:tcPr>
            <w:tcW w:w="1271" w:type="dxa"/>
            <w:tcBorders>
              <w:top w:val="nil"/>
              <w:left w:val="nil"/>
              <w:bottom w:val="single" w:sz="4" w:space="0" w:color="auto"/>
              <w:right w:val="single" w:sz="4" w:space="0" w:color="auto"/>
            </w:tcBorders>
            <w:shd w:val="clear" w:color="auto" w:fill="auto"/>
            <w:noWrap/>
            <w:vAlign w:val="center"/>
            <w:hideMark/>
          </w:tcPr>
          <w:p w14:paraId="6479B7D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8E31F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66204E96"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0073B99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2A4B62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33ED6C4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3660EC3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53BC5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A6C7FA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r>
      <w:tr w:rsidR="00DE0C4F" w:rsidRPr="00914AE9" w14:paraId="2139C384"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305D93E3"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lastRenderedPageBreak/>
              <w:t>Sauces &amp; toppings (including mayonnaise and salad dressings)</w:t>
            </w:r>
          </w:p>
        </w:tc>
        <w:tc>
          <w:tcPr>
            <w:tcW w:w="1271" w:type="dxa"/>
            <w:tcBorders>
              <w:top w:val="nil"/>
              <w:left w:val="nil"/>
              <w:bottom w:val="single" w:sz="4" w:space="0" w:color="auto"/>
              <w:right w:val="single" w:sz="4" w:space="0" w:color="auto"/>
            </w:tcBorders>
            <w:shd w:val="clear" w:color="auto" w:fill="auto"/>
            <w:noWrap/>
            <w:vAlign w:val="center"/>
            <w:hideMark/>
          </w:tcPr>
          <w:p w14:paraId="10FF3D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ADC20FA" w14:textId="65768B97"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45</w:t>
            </w:r>
          </w:p>
        </w:tc>
        <w:tc>
          <w:tcPr>
            <w:tcW w:w="1417" w:type="dxa"/>
            <w:tcBorders>
              <w:top w:val="nil"/>
              <w:left w:val="nil"/>
              <w:bottom w:val="single" w:sz="4" w:space="0" w:color="auto"/>
              <w:right w:val="single" w:sz="4" w:space="0" w:color="auto"/>
            </w:tcBorders>
            <w:shd w:val="clear" w:color="000000" w:fill="D9D9D9"/>
            <w:noWrap/>
            <w:vAlign w:val="center"/>
            <w:hideMark/>
          </w:tcPr>
          <w:p w14:paraId="59E9E0EC" w14:textId="6B9BC321"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44</w:t>
            </w:r>
          </w:p>
        </w:tc>
        <w:tc>
          <w:tcPr>
            <w:tcW w:w="1276" w:type="dxa"/>
            <w:tcBorders>
              <w:top w:val="nil"/>
              <w:left w:val="nil"/>
              <w:bottom w:val="single" w:sz="4" w:space="0" w:color="auto"/>
              <w:right w:val="single" w:sz="4" w:space="0" w:color="auto"/>
            </w:tcBorders>
            <w:shd w:val="clear" w:color="auto" w:fill="auto"/>
            <w:noWrap/>
            <w:vAlign w:val="center"/>
            <w:hideMark/>
          </w:tcPr>
          <w:p w14:paraId="7C66B03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0A836988" w14:textId="18DC3CC5"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41</w:t>
            </w:r>
          </w:p>
        </w:tc>
        <w:tc>
          <w:tcPr>
            <w:tcW w:w="1559" w:type="dxa"/>
            <w:tcBorders>
              <w:top w:val="nil"/>
              <w:left w:val="nil"/>
              <w:bottom w:val="single" w:sz="4" w:space="0" w:color="auto"/>
              <w:right w:val="single" w:sz="4" w:space="0" w:color="auto"/>
            </w:tcBorders>
            <w:shd w:val="clear" w:color="000000" w:fill="D9D9D9"/>
            <w:noWrap/>
            <w:vAlign w:val="center"/>
            <w:hideMark/>
          </w:tcPr>
          <w:p w14:paraId="6E742C64" w14:textId="28A9FD3C"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14:paraId="79D7FC0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6DED6526" w14:textId="080375A6"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28</w:t>
            </w:r>
          </w:p>
        </w:tc>
        <w:tc>
          <w:tcPr>
            <w:tcW w:w="1417" w:type="dxa"/>
            <w:tcBorders>
              <w:top w:val="nil"/>
              <w:left w:val="nil"/>
              <w:bottom w:val="single" w:sz="4" w:space="0" w:color="auto"/>
              <w:right w:val="single" w:sz="4" w:space="0" w:color="auto"/>
            </w:tcBorders>
            <w:shd w:val="clear" w:color="000000" w:fill="D9D9D9"/>
            <w:noWrap/>
            <w:vAlign w:val="center"/>
            <w:hideMark/>
          </w:tcPr>
          <w:p w14:paraId="474E4855" w14:textId="46F85029" w:rsidR="0097427E" w:rsidRPr="00E9707E" w:rsidRDefault="00AD0A38" w:rsidP="00706994">
            <w:pPr>
              <w:keepNext/>
              <w:keepLines/>
              <w:tabs>
                <w:tab w:val="decimal" w:pos="567"/>
              </w:tabs>
              <w:spacing w:before="40" w:after="40"/>
              <w:rPr>
                <w:rFonts w:cs="Arial"/>
                <w:color w:val="000000"/>
                <w:sz w:val="20"/>
                <w:szCs w:val="20"/>
                <w:highlight w:val="yellow"/>
                <w:lang w:eastAsia="en-GB"/>
              </w:rPr>
            </w:pPr>
            <w:r>
              <w:rPr>
                <w:rFonts w:cs="Arial"/>
                <w:color w:val="000000"/>
                <w:sz w:val="20"/>
                <w:szCs w:val="20"/>
              </w:rPr>
              <w:t>28</w:t>
            </w:r>
          </w:p>
        </w:tc>
      </w:tr>
      <w:tr w:rsidR="00DE0C4F" w:rsidRPr="00914AE9" w14:paraId="37464FAB"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00E623D"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Processed nuts</w:t>
            </w:r>
          </w:p>
        </w:tc>
        <w:tc>
          <w:tcPr>
            <w:tcW w:w="1271" w:type="dxa"/>
            <w:tcBorders>
              <w:top w:val="nil"/>
              <w:left w:val="nil"/>
              <w:bottom w:val="single" w:sz="4" w:space="0" w:color="auto"/>
              <w:right w:val="single" w:sz="4" w:space="0" w:color="auto"/>
            </w:tcBorders>
            <w:shd w:val="clear" w:color="auto" w:fill="auto"/>
            <w:noWrap/>
            <w:vAlign w:val="center"/>
            <w:hideMark/>
          </w:tcPr>
          <w:p w14:paraId="02DB9C5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3E09C22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176AE28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7A81765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A6AA65"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3BE3D203"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14:paraId="2DFC977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E4B193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213A8F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r>
      <w:tr w:rsidR="00DE0C4F" w:rsidRPr="00914AE9" w14:paraId="49F65839" w14:textId="77777777" w:rsidTr="00122C43">
        <w:trPr>
          <w:trHeight w:val="22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F6B2C96"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Potato chips including starch based snacks from roots, tubers, pulses and legumes</w:t>
            </w:r>
          </w:p>
        </w:tc>
        <w:tc>
          <w:tcPr>
            <w:tcW w:w="1271" w:type="dxa"/>
            <w:tcBorders>
              <w:top w:val="nil"/>
              <w:left w:val="nil"/>
              <w:bottom w:val="single" w:sz="4" w:space="0" w:color="auto"/>
              <w:right w:val="single" w:sz="4" w:space="0" w:color="auto"/>
            </w:tcBorders>
            <w:shd w:val="clear" w:color="auto" w:fill="auto"/>
            <w:noWrap/>
            <w:vAlign w:val="center"/>
            <w:hideMark/>
          </w:tcPr>
          <w:p w14:paraId="6D9A4BA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566691"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34A9BB64"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E86C8B0"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CDEE3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14:paraId="4E388B92"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hideMark/>
          </w:tcPr>
          <w:p w14:paraId="6A4F46D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14:paraId="7E5D8809"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14:paraId="6538AA9E"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4</w:t>
            </w:r>
          </w:p>
        </w:tc>
      </w:tr>
      <w:tr w:rsidR="00DE0C4F" w:rsidRPr="00914AE9" w14:paraId="558767C6" w14:textId="77777777" w:rsidTr="00122C43">
        <w:trPr>
          <w:trHeight w:val="227"/>
        </w:trPr>
        <w:tc>
          <w:tcPr>
            <w:tcW w:w="2835" w:type="dxa"/>
            <w:tcBorders>
              <w:top w:val="nil"/>
              <w:left w:val="single" w:sz="4" w:space="0" w:color="auto"/>
              <w:bottom w:val="single" w:sz="4" w:space="0" w:color="auto"/>
              <w:right w:val="single" w:sz="4" w:space="0" w:color="auto"/>
            </w:tcBorders>
            <w:shd w:val="clear" w:color="000000" w:fill="D9D9D9"/>
            <w:noWrap/>
            <w:vAlign w:val="center"/>
            <w:hideMark/>
          </w:tcPr>
          <w:p w14:paraId="0AA360F8" w14:textId="77777777" w:rsidR="0097427E" w:rsidRPr="00E9707E" w:rsidRDefault="0097427E" w:rsidP="00706994">
            <w:pPr>
              <w:keepNext/>
              <w:keepLines/>
              <w:spacing w:before="40" w:after="40"/>
              <w:rPr>
                <w:rFonts w:cs="Arial"/>
                <w:color w:val="000000"/>
                <w:sz w:val="20"/>
                <w:szCs w:val="20"/>
                <w:lang w:eastAsia="en-GB"/>
              </w:rPr>
            </w:pPr>
            <w:r w:rsidRPr="00E9707E">
              <w:rPr>
                <w:rFonts w:cs="Arial"/>
                <w:color w:val="000000"/>
                <w:sz w:val="20"/>
                <w:szCs w:val="20"/>
                <w:lang w:eastAsia="en-GB"/>
              </w:rPr>
              <w:t>Rosemary</w:t>
            </w:r>
          </w:p>
        </w:tc>
        <w:tc>
          <w:tcPr>
            <w:tcW w:w="1271" w:type="dxa"/>
            <w:tcBorders>
              <w:top w:val="nil"/>
              <w:left w:val="nil"/>
              <w:bottom w:val="single" w:sz="4" w:space="0" w:color="auto"/>
              <w:right w:val="single" w:sz="4" w:space="0" w:color="auto"/>
            </w:tcBorders>
            <w:shd w:val="clear" w:color="000000" w:fill="D9D9D9"/>
            <w:noWrap/>
            <w:vAlign w:val="center"/>
            <w:hideMark/>
          </w:tcPr>
          <w:p w14:paraId="38CBD0E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7E19FA5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45A5E64C"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000000" w:fill="D9D9D9"/>
            <w:noWrap/>
            <w:vAlign w:val="center"/>
            <w:hideMark/>
          </w:tcPr>
          <w:p w14:paraId="0880D3D8"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14BBDF7"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559" w:type="dxa"/>
            <w:tcBorders>
              <w:top w:val="single" w:sz="4" w:space="0" w:color="auto"/>
              <w:left w:val="nil"/>
              <w:bottom w:val="single" w:sz="4" w:space="0" w:color="auto"/>
              <w:right w:val="single" w:sz="4" w:space="0" w:color="auto"/>
            </w:tcBorders>
            <w:shd w:val="clear" w:color="000000" w:fill="auto"/>
            <w:noWrap/>
            <w:vAlign w:val="center"/>
            <w:hideMark/>
          </w:tcPr>
          <w:p w14:paraId="61C384EB"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2</w:t>
            </w:r>
          </w:p>
        </w:tc>
        <w:tc>
          <w:tcPr>
            <w:tcW w:w="1276" w:type="dxa"/>
            <w:tcBorders>
              <w:top w:val="nil"/>
              <w:left w:val="nil"/>
              <w:bottom w:val="single" w:sz="4" w:space="0" w:color="auto"/>
              <w:right w:val="single" w:sz="4" w:space="0" w:color="auto"/>
            </w:tcBorders>
            <w:shd w:val="clear" w:color="000000" w:fill="D9D9D9"/>
            <w:noWrap/>
            <w:vAlign w:val="center"/>
            <w:hideMark/>
          </w:tcPr>
          <w:p w14:paraId="24CF238F"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3993E5EA"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center"/>
            <w:hideMark/>
          </w:tcPr>
          <w:p w14:paraId="79E807FD" w14:textId="77777777" w:rsidR="0097427E" w:rsidRPr="00E9707E" w:rsidRDefault="0097427E" w:rsidP="00706994">
            <w:pPr>
              <w:keepNext/>
              <w:keepLines/>
              <w:tabs>
                <w:tab w:val="decimal" w:pos="567"/>
              </w:tabs>
              <w:spacing w:before="40" w:after="40"/>
              <w:rPr>
                <w:rFonts w:cs="Arial"/>
                <w:color w:val="000000"/>
                <w:sz w:val="20"/>
                <w:szCs w:val="20"/>
                <w:highlight w:val="yellow"/>
                <w:lang w:eastAsia="en-GB"/>
              </w:rPr>
            </w:pPr>
            <w:r w:rsidRPr="00E9707E">
              <w:rPr>
                <w:rFonts w:cs="Arial"/>
                <w:color w:val="000000"/>
                <w:sz w:val="20"/>
                <w:szCs w:val="20"/>
              </w:rPr>
              <w:t>&lt;1</w:t>
            </w:r>
          </w:p>
        </w:tc>
      </w:tr>
    </w:tbl>
    <w:p w14:paraId="46A5024D" w14:textId="77777777" w:rsidR="0097427E" w:rsidRDefault="0097427E" w:rsidP="0097427E">
      <w:pPr>
        <w:rPr>
          <w:sz w:val="16"/>
          <w:szCs w:val="16"/>
        </w:rPr>
      </w:pPr>
      <w:r w:rsidRPr="00575F8E">
        <w:rPr>
          <w:sz w:val="16"/>
          <w:szCs w:val="16"/>
        </w:rPr>
        <w:sym w:font="Wingdings" w:char="F076"/>
      </w:r>
      <w:r>
        <w:rPr>
          <w:sz w:val="16"/>
          <w:szCs w:val="16"/>
        </w:rPr>
        <w:t xml:space="preserve">  </w:t>
      </w:r>
      <w:r w:rsidRPr="00575F8E">
        <w:rPr>
          <w:sz w:val="16"/>
          <w:szCs w:val="16"/>
        </w:rPr>
        <w:t xml:space="preserve">Based on </w:t>
      </w:r>
      <w:r>
        <w:rPr>
          <w:sz w:val="16"/>
          <w:szCs w:val="16"/>
        </w:rPr>
        <w:t>food consumption data from Day 1 and 2;</w:t>
      </w:r>
      <w:r>
        <w:rPr>
          <w:sz w:val="16"/>
          <w:szCs w:val="16"/>
        </w:rPr>
        <w:tab/>
      </w:r>
      <w:r>
        <w:rPr>
          <w:sz w:val="16"/>
          <w:szCs w:val="16"/>
        </w:rPr>
        <w:tab/>
      </w:r>
      <w:r w:rsidRPr="00575F8E">
        <w:rPr>
          <w:sz w:val="16"/>
          <w:szCs w:val="16"/>
        </w:rPr>
        <w:sym w:font="Wingdings 3" w:char="F073"/>
      </w:r>
      <w:r>
        <w:rPr>
          <w:sz w:val="16"/>
          <w:szCs w:val="16"/>
        </w:rPr>
        <w:t xml:space="preserve">  </w:t>
      </w:r>
      <w:r w:rsidRPr="00575F8E">
        <w:rPr>
          <w:sz w:val="16"/>
          <w:szCs w:val="16"/>
        </w:rPr>
        <w:t>Based on</w:t>
      </w:r>
      <w:r>
        <w:rPr>
          <w:sz w:val="16"/>
          <w:szCs w:val="16"/>
        </w:rPr>
        <w:t xml:space="preserve"> food consumption data from</w:t>
      </w:r>
      <w:r w:rsidRPr="00575F8E">
        <w:rPr>
          <w:sz w:val="16"/>
          <w:szCs w:val="16"/>
        </w:rPr>
        <w:t xml:space="preserve"> Day 1 only</w:t>
      </w:r>
      <w:r>
        <w:rPr>
          <w:sz w:val="16"/>
          <w:szCs w:val="16"/>
        </w:rPr>
        <w:t>.</w:t>
      </w:r>
    </w:p>
    <w:p w14:paraId="435628FA" w14:textId="7A87C49B" w:rsidR="0015469A" w:rsidRDefault="0097427E" w:rsidP="0097427E">
      <w:pPr>
        <w:rPr>
          <w:sz w:val="16"/>
          <w:szCs w:val="16"/>
        </w:rPr>
      </w:pPr>
      <w:r>
        <w:rPr>
          <w:sz w:val="16"/>
          <w:szCs w:val="16"/>
        </w:rPr>
        <w:t>Shaded cells indicate major (≥5% contribution to estimated dietary exposures</w:t>
      </w:r>
      <w:r w:rsidR="00165CC7">
        <w:rPr>
          <w:sz w:val="16"/>
          <w:szCs w:val="16"/>
        </w:rPr>
        <w:t>)</w:t>
      </w:r>
      <w:r>
        <w:rPr>
          <w:sz w:val="16"/>
          <w:szCs w:val="16"/>
        </w:rPr>
        <w:t>.</w:t>
      </w:r>
      <w:r w:rsidR="0015469A">
        <w:rPr>
          <w:sz w:val="16"/>
          <w:szCs w:val="16"/>
        </w:rPr>
        <w:br w:type="page"/>
      </w:r>
    </w:p>
    <w:p w14:paraId="5B6ED2F7" w14:textId="72DA5F07" w:rsidR="0097427E" w:rsidRPr="00B748C3" w:rsidRDefault="0097427E" w:rsidP="00B748C3">
      <w:pPr>
        <w:pStyle w:val="FSTableTitle"/>
        <w:spacing w:after="120"/>
        <w:rPr>
          <w:i/>
        </w:rPr>
      </w:pPr>
      <w:bookmarkStart w:id="225" w:name="_Ref524599203"/>
      <w:bookmarkStart w:id="226" w:name="_Ref524599202"/>
      <w:r w:rsidRPr="00B748C3">
        <w:rPr>
          <w:i/>
        </w:rPr>
        <w:lastRenderedPageBreak/>
        <w:t xml:space="preserve">Table </w:t>
      </w:r>
      <w:r w:rsidR="004F277B" w:rsidRPr="00B748C3">
        <w:rPr>
          <w:i/>
        </w:rPr>
        <w:t>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7</w:t>
      </w:r>
      <w:r w:rsidR="00BD2527" w:rsidRPr="00B748C3">
        <w:rPr>
          <w:i/>
          <w:noProof/>
        </w:rPr>
        <w:fldChar w:fldCharType="end"/>
      </w:r>
      <w:bookmarkEnd w:id="222"/>
      <w:bookmarkEnd w:id="225"/>
      <w:r w:rsidRPr="00B748C3">
        <w:rPr>
          <w:i/>
        </w:rPr>
        <w:t xml:space="preserve">: Food categories (as listed by </w:t>
      </w:r>
      <w:r w:rsidR="005D6D72" w:rsidRPr="00B748C3">
        <w:rPr>
          <w:i/>
        </w:rPr>
        <w:t>a</w:t>
      </w:r>
      <w:r w:rsidRPr="00B748C3">
        <w:rPr>
          <w:i/>
        </w:rPr>
        <w:t xml:space="preserve">pplicant) and their contribution to estimated dietary exposures to </w:t>
      </w:r>
      <w:r w:rsidR="0048026B" w:rsidRPr="00B748C3">
        <w:rPr>
          <w:i/>
        </w:rPr>
        <w:t>carnosic acid plus carnosol</w:t>
      </w:r>
      <w:r w:rsidRPr="00B748C3">
        <w:rPr>
          <w:i/>
        </w:rPr>
        <w:t>, for the Usual Use scenarios</w:t>
      </w:r>
      <w:bookmarkEnd w:id="226"/>
    </w:p>
    <w:tbl>
      <w:tblPr>
        <w:tblW w:w="14742" w:type="dxa"/>
        <w:tblInd w:w="-5" w:type="dxa"/>
        <w:tblLayout w:type="fixed"/>
        <w:tblLook w:val="04A0" w:firstRow="1" w:lastRow="0" w:firstColumn="1" w:lastColumn="0" w:noHBand="0" w:noVBand="1"/>
        <w:tblDescription w:val="Contributing food categories to Carnosic acid plus Carnosol dietary exposures for all Australian and New Zealand population groups for all scenarios. In the Naturally occurring scenario, Rosemary is the only contributor. In the Added rosemary extract only scenario and the Naturally-occurring plus added rosemary extract scenario, the major contributing food group for all population groups is Sauces &amp; toppings (including mayonnaise and salad dressings)"/>
      </w:tblPr>
      <w:tblGrid>
        <w:gridCol w:w="3828"/>
        <w:gridCol w:w="1134"/>
        <w:gridCol w:w="1134"/>
        <w:gridCol w:w="1275"/>
        <w:gridCol w:w="1134"/>
        <w:gridCol w:w="1134"/>
        <w:gridCol w:w="1276"/>
        <w:gridCol w:w="1134"/>
        <w:gridCol w:w="1276"/>
        <w:gridCol w:w="1417"/>
      </w:tblGrid>
      <w:tr w:rsidR="0097427E" w:rsidRPr="00A56F7F" w14:paraId="3D3EAF7E" w14:textId="77777777" w:rsidTr="00E9707E">
        <w:trPr>
          <w:trHeight w:val="300"/>
        </w:trPr>
        <w:tc>
          <w:tcPr>
            <w:tcW w:w="3828" w:type="dxa"/>
            <w:vMerge w:val="restart"/>
            <w:tcBorders>
              <w:top w:val="single" w:sz="4" w:space="0" w:color="auto"/>
              <w:left w:val="single" w:sz="4" w:space="0" w:color="auto"/>
              <w:right w:val="single" w:sz="4" w:space="0" w:color="auto"/>
            </w:tcBorders>
            <w:shd w:val="clear" w:color="auto" w:fill="auto"/>
            <w:noWrap/>
            <w:vAlign w:val="center"/>
            <w:hideMark/>
          </w:tcPr>
          <w:p w14:paraId="45A026E5" w14:textId="6359B7A6" w:rsidR="0097427E" w:rsidRPr="00A56F7F" w:rsidRDefault="0097427E" w:rsidP="00717E93">
            <w:pPr>
              <w:keepNext/>
              <w:keepLines/>
              <w:rPr>
                <w:b/>
                <w:bCs/>
                <w:color w:val="000000"/>
                <w:sz w:val="18"/>
                <w:szCs w:val="18"/>
                <w:lang w:eastAsia="en-GB"/>
              </w:rPr>
            </w:pPr>
            <w:r w:rsidRPr="00A56F7F">
              <w:rPr>
                <w:b/>
                <w:bCs/>
                <w:color w:val="000000"/>
                <w:sz w:val="18"/>
                <w:szCs w:val="18"/>
                <w:lang w:eastAsia="en-GB"/>
              </w:rPr>
              <w:t xml:space="preserve">Food category as requested by </w:t>
            </w:r>
            <w:r w:rsidR="005D6D72">
              <w:rPr>
                <w:b/>
                <w:bCs/>
                <w:color w:val="000000"/>
                <w:sz w:val="18"/>
                <w:szCs w:val="18"/>
                <w:lang w:eastAsia="en-GB"/>
              </w:rPr>
              <w:t>a</w:t>
            </w:r>
            <w:r w:rsidRPr="00A56F7F">
              <w:rPr>
                <w:b/>
                <w:bCs/>
                <w:color w:val="000000"/>
                <w:sz w:val="18"/>
                <w:szCs w:val="18"/>
                <w:lang w:eastAsia="en-GB"/>
              </w:rPr>
              <w:t>pplicant</w:t>
            </w:r>
          </w:p>
        </w:tc>
        <w:tc>
          <w:tcPr>
            <w:tcW w:w="10914" w:type="dxa"/>
            <w:gridSpan w:val="9"/>
            <w:tcBorders>
              <w:top w:val="single" w:sz="4" w:space="0" w:color="auto"/>
              <w:left w:val="nil"/>
              <w:bottom w:val="single" w:sz="4" w:space="0" w:color="auto"/>
              <w:right w:val="single" w:sz="4" w:space="0" w:color="auto"/>
            </w:tcBorders>
            <w:shd w:val="clear" w:color="auto" w:fill="auto"/>
            <w:noWrap/>
            <w:vAlign w:val="center"/>
            <w:hideMark/>
          </w:tcPr>
          <w:p w14:paraId="2C00FEE0"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 contribution</w:t>
            </w:r>
          </w:p>
        </w:tc>
      </w:tr>
      <w:tr w:rsidR="0097427E" w:rsidRPr="00A56F7F" w14:paraId="6CC4FABD" w14:textId="77777777" w:rsidTr="00E9707E">
        <w:trPr>
          <w:trHeight w:val="382"/>
        </w:trPr>
        <w:tc>
          <w:tcPr>
            <w:tcW w:w="3828" w:type="dxa"/>
            <w:vMerge/>
            <w:tcBorders>
              <w:left w:val="single" w:sz="4" w:space="0" w:color="auto"/>
              <w:right w:val="single" w:sz="4" w:space="0" w:color="auto"/>
            </w:tcBorders>
            <w:shd w:val="clear" w:color="auto" w:fill="auto"/>
            <w:noWrap/>
            <w:vAlign w:val="center"/>
            <w:hideMark/>
          </w:tcPr>
          <w:p w14:paraId="28DF3FA1" w14:textId="77777777" w:rsidR="0097427E" w:rsidRPr="00A56F7F" w:rsidRDefault="0097427E" w:rsidP="00717E93">
            <w:pPr>
              <w:keepNext/>
              <w:keepLines/>
              <w:rPr>
                <w:b/>
                <w:bCs/>
                <w:color w:val="000000"/>
                <w:sz w:val="18"/>
                <w:szCs w:val="18"/>
                <w:lang w:eastAsia="en-GB"/>
              </w:rPr>
            </w:pP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98C893"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Australians</w:t>
            </w:r>
          </w:p>
          <w:p w14:paraId="5B537502"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2 years and above</w:t>
            </w:r>
            <w:r w:rsidRPr="00A56F7F">
              <w:rPr>
                <w:sz w:val="20"/>
                <w:szCs w:val="16"/>
                <w:vertAlign w:val="superscript"/>
              </w:rPr>
              <w:sym w:font="Wingdings" w:char="F076"/>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BCC41D"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New Zealanders</w:t>
            </w:r>
          </w:p>
          <w:p w14:paraId="03BC6614"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15 years and above</w:t>
            </w:r>
            <w:r w:rsidRPr="00A56F7F">
              <w:rPr>
                <w:sz w:val="20"/>
                <w:szCs w:val="20"/>
                <w:vertAlign w:val="superscript"/>
              </w:rPr>
              <w:sym w:font="Wingdings 3" w:char="F073"/>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A4C310"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New Zealanders</w:t>
            </w:r>
          </w:p>
          <w:p w14:paraId="64DC26AF" w14:textId="77777777" w:rsidR="0097427E" w:rsidRPr="00A56F7F" w:rsidRDefault="0097427E" w:rsidP="00717E93">
            <w:pPr>
              <w:keepNext/>
              <w:keepLines/>
              <w:jc w:val="center"/>
              <w:rPr>
                <w:b/>
                <w:bCs/>
                <w:color w:val="000000"/>
                <w:sz w:val="18"/>
                <w:szCs w:val="18"/>
                <w:lang w:eastAsia="en-GB"/>
              </w:rPr>
            </w:pPr>
            <w:r w:rsidRPr="00A56F7F">
              <w:rPr>
                <w:b/>
                <w:bCs/>
                <w:color w:val="000000"/>
                <w:sz w:val="18"/>
                <w:szCs w:val="18"/>
                <w:lang w:eastAsia="en-GB"/>
              </w:rPr>
              <w:t>5-14 years</w:t>
            </w:r>
            <w:r w:rsidRPr="00A56F7F">
              <w:rPr>
                <w:sz w:val="20"/>
                <w:szCs w:val="20"/>
                <w:vertAlign w:val="superscript"/>
              </w:rPr>
              <w:sym w:font="Wingdings 3" w:char="F073"/>
            </w:r>
          </w:p>
        </w:tc>
      </w:tr>
      <w:tr w:rsidR="0097427E" w:rsidRPr="00A56F7F" w14:paraId="4E2957C7" w14:textId="77777777" w:rsidTr="00E9707E">
        <w:trPr>
          <w:trHeight w:val="1248"/>
        </w:trPr>
        <w:tc>
          <w:tcPr>
            <w:tcW w:w="3828" w:type="dxa"/>
            <w:vMerge/>
            <w:tcBorders>
              <w:left w:val="single" w:sz="4" w:space="0" w:color="auto"/>
              <w:bottom w:val="single" w:sz="4" w:space="0" w:color="auto"/>
              <w:right w:val="single" w:sz="4" w:space="0" w:color="auto"/>
            </w:tcBorders>
            <w:shd w:val="clear" w:color="auto" w:fill="auto"/>
            <w:noWrap/>
            <w:vAlign w:val="center"/>
            <w:hideMark/>
          </w:tcPr>
          <w:p w14:paraId="5BD40577" w14:textId="77777777" w:rsidR="0097427E" w:rsidRPr="00A56F7F" w:rsidRDefault="0097427E" w:rsidP="00717E93">
            <w:pPr>
              <w:keepNext/>
              <w:keepLines/>
              <w:rPr>
                <w:b/>
                <w:bCs/>
                <w:color w:val="000000"/>
                <w:sz w:val="18"/>
                <w:szCs w:val="18"/>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FE29A2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134" w:type="dxa"/>
            <w:tcBorders>
              <w:top w:val="nil"/>
              <w:left w:val="nil"/>
              <w:bottom w:val="single" w:sz="4" w:space="0" w:color="auto"/>
              <w:right w:val="single" w:sz="4" w:space="0" w:color="auto"/>
            </w:tcBorders>
            <w:shd w:val="clear" w:color="auto" w:fill="auto"/>
            <w:vAlign w:val="center"/>
            <w:hideMark/>
          </w:tcPr>
          <w:p w14:paraId="6340573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365E571C"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275" w:type="dxa"/>
            <w:tcBorders>
              <w:top w:val="nil"/>
              <w:left w:val="nil"/>
              <w:bottom w:val="single" w:sz="4" w:space="0" w:color="auto"/>
              <w:right w:val="single" w:sz="4" w:space="0" w:color="auto"/>
            </w:tcBorders>
            <w:shd w:val="clear" w:color="auto" w:fill="auto"/>
            <w:vAlign w:val="center"/>
            <w:hideMark/>
          </w:tcPr>
          <w:p w14:paraId="5C409241"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437B396"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134" w:type="dxa"/>
            <w:tcBorders>
              <w:top w:val="nil"/>
              <w:left w:val="nil"/>
              <w:bottom w:val="single" w:sz="4" w:space="0" w:color="auto"/>
              <w:right w:val="single" w:sz="4" w:space="0" w:color="auto"/>
            </w:tcBorders>
            <w:shd w:val="clear" w:color="auto" w:fill="auto"/>
            <w:vAlign w:val="center"/>
            <w:hideMark/>
          </w:tcPr>
          <w:p w14:paraId="57F15184"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134" w:type="dxa"/>
            <w:tcBorders>
              <w:top w:val="nil"/>
              <w:left w:val="nil"/>
              <w:bottom w:val="single" w:sz="4" w:space="0" w:color="auto"/>
              <w:right w:val="single" w:sz="4" w:space="0" w:color="auto"/>
            </w:tcBorders>
            <w:shd w:val="clear" w:color="auto" w:fill="auto"/>
            <w:vAlign w:val="center"/>
            <w:hideMark/>
          </w:tcPr>
          <w:p w14:paraId="5FD10E7E"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7225D3EF"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276" w:type="dxa"/>
            <w:tcBorders>
              <w:top w:val="nil"/>
              <w:left w:val="nil"/>
              <w:bottom w:val="single" w:sz="4" w:space="0" w:color="auto"/>
              <w:right w:val="single" w:sz="4" w:space="0" w:color="auto"/>
            </w:tcBorders>
            <w:shd w:val="clear" w:color="auto" w:fill="auto"/>
            <w:vAlign w:val="center"/>
            <w:hideMark/>
          </w:tcPr>
          <w:p w14:paraId="304061B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0F0DCD5"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134" w:type="dxa"/>
            <w:tcBorders>
              <w:top w:val="nil"/>
              <w:left w:val="nil"/>
              <w:bottom w:val="single" w:sz="4" w:space="0" w:color="auto"/>
              <w:right w:val="single" w:sz="4" w:space="0" w:color="auto"/>
            </w:tcBorders>
            <w:shd w:val="clear" w:color="auto" w:fill="auto"/>
            <w:vAlign w:val="center"/>
            <w:hideMark/>
          </w:tcPr>
          <w:p w14:paraId="235491D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w:t>
            </w:r>
          </w:p>
        </w:tc>
        <w:tc>
          <w:tcPr>
            <w:tcW w:w="1276" w:type="dxa"/>
            <w:tcBorders>
              <w:top w:val="nil"/>
              <w:left w:val="nil"/>
              <w:bottom w:val="single" w:sz="4" w:space="0" w:color="auto"/>
              <w:right w:val="single" w:sz="4" w:space="0" w:color="auto"/>
            </w:tcBorders>
            <w:shd w:val="clear" w:color="auto" w:fill="auto"/>
            <w:vAlign w:val="center"/>
            <w:hideMark/>
          </w:tcPr>
          <w:p w14:paraId="7E6B1933"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Added rosemary extract only_</w:t>
            </w:r>
          </w:p>
          <w:p w14:paraId="6DB2B9A7"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c>
          <w:tcPr>
            <w:tcW w:w="1417" w:type="dxa"/>
            <w:tcBorders>
              <w:top w:val="nil"/>
              <w:left w:val="nil"/>
              <w:bottom w:val="single" w:sz="4" w:space="0" w:color="auto"/>
              <w:right w:val="single" w:sz="4" w:space="0" w:color="auto"/>
            </w:tcBorders>
            <w:shd w:val="clear" w:color="auto" w:fill="auto"/>
            <w:vAlign w:val="center"/>
            <w:hideMark/>
          </w:tcPr>
          <w:p w14:paraId="7C892CE2"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Naturally-occurring plus added rosemary extract_</w:t>
            </w:r>
          </w:p>
          <w:p w14:paraId="358BC5A0" w14:textId="77777777" w:rsidR="0097427E" w:rsidRPr="00A56F7F" w:rsidRDefault="0097427E" w:rsidP="00717E93">
            <w:pPr>
              <w:keepNext/>
              <w:keepLines/>
              <w:jc w:val="center"/>
              <w:rPr>
                <w:b/>
                <w:bCs/>
                <w:i/>
                <w:iCs/>
                <w:sz w:val="18"/>
                <w:szCs w:val="18"/>
                <w:lang w:eastAsia="en-GB"/>
              </w:rPr>
            </w:pPr>
            <w:r w:rsidRPr="00A56F7F">
              <w:rPr>
                <w:b/>
                <w:bCs/>
                <w:i/>
                <w:iCs/>
                <w:sz w:val="18"/>
                <w:szCs w:val="18"/>
                <w:lang w:eastAsia="en-GB"/>
              </w:rPr>
              <w:t>Usual Use</w:t>
            </w:r>
          </w:p>
        </w:tc>
      </w:tr>
      <w:tr w:rsidR="0097427E" w:rsidRPr="00914AE9" w14:paraId="7B55D219" w14:textId="77777777" w:rsidTr="00E9707E">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402A" w14:textId="77777777" w:rsidR="0097427E" w:rsidRPr="00A56F7F" w:rsidRDefault="0097427E" w:rsidP="00887453">
            <w:pPr>
              <w:keepNext/>
              <w:keepLines/>
              <w:spacing w:before="40" w:after="40"/>
              <w:rPr>
                <w:color w:val="000000"/>
                <w:sz w:val="18"/>
                <w:szCs w:val="18"/>
                <w:lang w:eastAsia="en-GB"/>
              </w:rPr>
            </w:pPr>
            <w:r>
              <w:rPr>
                <w:color w:val="000000"/>
                <w:sz w:val="18"/>
                <w:szCs w:val="18"/>
                <w:lang w:eastAsia="en-GB"/>
              </w:rPr>
              <w:t>Fish &amp; algal oils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BF610E"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FB08BD"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8B0C68"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7D224"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F5792F" w14:textId="77777777" w:rsidR="0097427E" w:rsidRPr="005F0965" w:rsidRDefault="0097427E" w:rsidP="00887453">
            <w:pPr>
              <w:keepNext/>
              <w:keepLines/>
              <w:tabs>
                <w:tab w:val="decimal" w:pos="567"/>
              </w:tabs>
              <w:spacing w:before="40" w:after="40"/>
              <w:rPr>
                <w:color w:val="000000"/>
                <w:sz w:val="18"/>
                <w:szCs w:val="18"/>
              </w:rPr>
            </w:pPr>
            <w:r w:rsidRPr="005F0965">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36CC33" w14:textId="77777777" w:rsidR="0097427E" w:rsidRPr="005F0965" w:rsidRDefault="0097427E" w:rsidP="00887453">
            <w:pPr>
              <w:keepNext/>
              <w:keepLines/>
              <w:tabs>
                <w:tab w:val="decimal" w:pos="567"/>
              </w:tabs>
              <w:spacing w:before="40" w:after="40"/>
              <w:rPr>
                <w:color w:val="000000"/>
                <w:sz w:val="18"/>
                <w:szCs w:val="18"/>
              </w:rPr>
            </w:pPr>
            <w:r w:rsidRPr="005F0965">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44AF59" w14:textId="77777777" w:rsidR="0097427E" w:rsidRPr="00BA1413" w:rsidRDefault="0097427E" w:rsidP="00887453">
            <w:pPr>
              <w:keepNext/>
              <w:keepLines/>
              <w:tabs>
                <w:tab w:val="decimal" w:pos="567"/>
              </w:tabs>
              <w:spacing w:before="40" w:after="40"/>
              <w:rPr>
                <w:color w:val="000000"/>
                <w:sz w:val="18"/>
                <w:szCs w:val="18"/>
              </w:rPr>
            </w:pPr>
            <w:r w:rsidRPr="00BA1413">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7B5AF" w14:textId="77777777" w:rsidR="0097427E" w:rsidRPr="00BA1413" w:rsidRDefault="0097427E" w:rsidP="00887453">
            <w:pPr>
              <w:keepNext/>
              <w:keepLines/>
              <w:tabs>
                <w:tab w:val="decimal" w:pos="567"/>
              </w:tabs>
              <w:spacing w:before="40" w:after="40"/>
              <w:rPr>
                <w:color w:val="000000"/>
                <w:sz w:val="18"/>
                <w:szCs w:val="18"/>
              </w:rPr>
            </w:pPr>
            <w:r>
              <w:rPr>
                <w:color w:val="000000"/>
                <w:sz w:val="18"/>
                <w:szCs w:val="18"/>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D1D7EF" w14:textId="77777777" w:rsidR="0097427E" w:rsidRPr="00BA1413" w:rsidRDefault="0097427E" w:rsidP="00887453">
            <w:pPr>
              <w:keepNext/>
              <w:keepLines/>
              <w:tabs>
                <w:tab w:val="decimal" w:pos="567"/>
              </w:tabs>
              <w:spacing w:before="40" w:after="40"/>
              <w:rPr>
                <w:color w:val="000000"/>
                <w:sz w:val="18"/>
                <w:szCs w:val="18"/>
              </w:rPr>
            </w:pPr>
            <w:r>
              <w:rPr>
                <w:color w:val="000000"/>
                <w:sz w:val="18"/>
                <w:szCs w:val="18"/>
              </w:rPr>
              <w:t>0</w:t>
            </w:r>
          </w:p>
        </w:tc>
      </w:tr>
      <w:tr w:rsidR="0097427E" w:rsidRPr="00914AE9" w14:paraId="3EB554D4"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266A06F7"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Margarines (solid &amp; liquid only), &lt;80% fat</w:t>
            </w:r>
          </w:p>
        </w:tc>
        <w:tc>
          <w:tcPr>
            <w:tcW w:w="1134" w:type="dxa"/>
            <w:tcBorders>
              <w:top w:val="nil"/>
              <w:left w:val="nil"/>
              <w:bottom w:val="single" w:sz="4" w:space="0" w:color="auto"/>
              <w:right w:val="single" w:sz="4" w:space="0" w:color="auto"/>
            </w:tcBorders>
            <w:shd w:val="clear" w:color="auto" w:fill="auto"/>
            <w:noWrap/>
            <w:vAlign w:val="center"/>
            <w:hideMark/>
          </w:tcPr>
          <w:p w14:paraId="4C99EB3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E0E994" w14:textId="77777777" w:rsidR="0097427E" w:rsidRPr="00AD0A38" w:rsidRDefault="0097427E" w:rsidP="00887453">
            <w:pPr>
              <w:keepNext/>
              <w:keepLines/>
              <w:tabs>
                <w:tab w:val="decimal" w:pos="567"/>
              </w:tabs>
              <w:spacing w:before="40" w:after="40"/>
              <w:rPr>
                <w:color w:val="000000"/>
                <w:sz w:val="18"/>
                <w:szCs w:val="18"/>
                <w:lang w:eastAsia="en-GB"/>
              </w:rPr>
            </w:pPr>
            <w:r w:rsidRPr="00AD0A38">
              <w:rPr>
                <w:color w:val="000000"/>
                <w:sz w:val="18"/>
                <w:szCs w:val="18"/>
              </w:rPr>
              <w:t>7</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6DBBBE" w14:textId="72B1E4C3" w:rsidR="0097427E" w:rsidRPr="00AD0A38" w:rsidRDefault="00AD0A38" w:rsidP="00887453">
            <w:pPr>
              <w:keepNext/>
              <w:keepLines/>
              <w:tabs>
                <w:tab w:val="decimal" w:pos="567"/>
              </w:tabs>
              <w:spacing w:before="40" w:after="40"/>
              <w:rPr>
                <w:color w:val="000000"/>
                <w:sz w:val="18"/>
                <w:szCs w:val="18"/>
                <w:lang w:eastAsia="en-GB"/>
              </w:rPr>
            </w:pPr>
            <w:r w:rsidRPr="00AD0A38">
              <w:rPr>
                <w:color w:val="000000"/>
                <w:sz w:val="18"/>
                <w:szCs w:val="18"/>
                <w:lang w:eastAsia="en-GB"/>
              </w:rPr>
              <w:t>6</w:t>
            </w:r>
          </w:p>
        </w:tc>
        <w:tc>
          <w:tcPr>
            <w:tcW w:w="1134" w:type="dxa"/>
            <w:tcBorders>
              <w:top w:val="nil"/>
              <w:left w:val="nil"/>
              <w:bottom w:val="single" w:sz="4" w:space="0" w:color="auto"/>
              <w:right w:val="single" w:sz="4" w:space="0" w:color="auto"/>
            </w:tcBorders>
            <w:shd w:val="clear" w:color="auto" w:fill="auto"/>
            <w:noWrap/>
            <w:vAlign w:val="center"/>
            <w:hideMark/>
          </w:tcPr>
          <w:p w14:paraId="7EC82DD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60940F7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17</w:t>
            </w:r>
          </w:p>
        </w:tc>
        <w:tc>
          <w:tcPr>
            <w:tcW w:w="1276" w:type="dxa"/>
            <w:tcBorders>
              <w:top w:val="nil"/>
              <w:left w:val="nil"/>
              <w:bottom w:val="single" w:sz="4" w:space="0" w:color="auto"/>
              <w:right w:val="single" w:sz="4" w:space="0" w:color="auto"/>
            </w:tcBorders>
            <w:shd w:val="clear" w:color="000000" w:fill="D9D9D9"/>
            <w:noWrap/>
            <w:vAlign w:val="center"/>
            <w:hideMark/>
          </w:tcPr>
          <w:p w14:paraId="2B22FBAA" w14:textId="4A874B81"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16</w:t>
            </w:r>
          </w:p>
        </w:tc>
        <w:tc>
          <w:tcPr>
            <w:tcW w:w="1134" w:type="dxa"/>
            <w:tcBorders>
              <w:top w:val="nil"/>
              <w:left w:val="nil"/>
              <w:bottom w:val="single" w:sz="4" w:space="0" w:color="auto"/>
              <w:right w:val="single" w:sz="4" w:space="0" w:color="auto"/>
            </w:tcBorders>
            <w:shd w:val="clear" w:color="auto" w:fill="auto"/>
            <w:noWrap/>
            <w:vAlign w:val="center"/>
            <w:hideMark/>
          </w:tcPr>
          <w:p w14:paraId="781D66A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1AF7C97F" w14:textId="3E77C280"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14</w:t>
            </w:r>
          </w:p>
        </w:tc>
        <w:tc>
          <w:tcPr>
            <w:tcW w:w="1417" w:type="dxa"/>
            <w:tcBorders>
              <w:top w:val="nil"/>
              <w:left w:val="nil"/>
              <w:bottom w:val="single" w:sz="4" w:space="0" w:color="auto"/>
              <w:right w:val="single" w:sz="4" w:space="0" w:color="auto"/>
            </w:tcBorders>
            <w:shd w:val="clear" w:color="000000" w:fill="D9D9D9"/>
            <w:noWrap/>
            <w:vAlign w:val="center"/>
            <w:hideMark/>
          </w:tcPr>
          <w:p w14:paraId="2EF9C2DD" w14:textId="353863E8"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14</w:t>
            </w:r>
          </w:p>
        </w:tc>
      </w:tr>
      <w:tr w:rsidR="0097427E" w:rsidRPr="00914AE9" w14:paraId="73E1BEEC"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D8419DD"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Nut butters &amp; nut spreads</w:t>
            </w:r>
          </w:p>
        </w:tc>
        <w:tc>
          <w:tcPr>
            <w:tcW w:w="1134" w:type="dxa"/>
            <w:tcBorders>
              <w:top w:val="nil"/>
              <w:left w:val="nil"/>
              <w:bottom w:val="single" w:sz="4" w:space="0" w:color="auto"/>
              <w:right w:val="single" w:sz="4" w:space="0" w:color="auto"/>
            </w:tcBorders>
            <w:shd w:val="clear" w:color="auto" w:fill="auto"/>
            <w:noWrap/>
            <w:vAlign w:val="center"/>
            <w:hideMark/>
          </w:tcPr>
          <w:p w14:paraId="5FE10CB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B2F6F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07B8698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8B5EC3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33B0F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8194D1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DAF8F9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24C06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14:paraId="13F68890"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r>
      <w:tr w:rsidR="0097427E" w:rsidRPr="00914AE9" w14:paraId="4FB7AD86"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6664FE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Icings &amp; frostings, glazes &amp; fillings</w:t>
            </w:r>
          </w:p>
        </w:tc>
        <w:tc>
          <w:tcPr>
            <w:tcW w:w="1134" w:type="dxa"/>
            <w:tcBorders>
              <w:top w:val="nil"/>
              <w:left w:val="nil"/>
              <w:bottom w:val="single" w:sz="4" w:space="0" w:color="auto"/>
              <w:right w:val="single" w:sz="4" w:space="0" w:color="auto"/>
            </w:tcBorders>
            <w:shd w:val="clear" w:color="auto" w:fill="auto"/>
            <w:noWrap/>
            <w:vAlign w:val="center"/>
            <w:hideMark/>
          </w:tcPr>
          <w:p w14:paraId="0E15426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A0C38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1279092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860D61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2F22C"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7A11617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07D415A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4E726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52883DC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1B66E95A"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5488D588"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Grain bars, breakfast bars, breakfast cereals</w:t>
            </w:r>
          </w:p>
        </w:tc>
        <w:tc>
          <w:tcPr>
            <w:tcW w:w="1134" w:type="dxa"/>
            <w:tcBorders>
              <w:top w:val="nil"/>
              <w:left w:val="nil"/>
              <w:bottom w:val="single" w:sz="4" w:space="0" w:color="auto"/>
              <w:right w:val="single" w:sz="4" w:space="0" w:color="auto"/>
            </w:tcBorders>
            <w:shd w:val="clear" w:color="auto" w:fill="auto"/>
            <w:noWrap/>
            <w:vAlign w:val="center"/>
            <w:hideMark/>
          </w:tcPr>
          <w:p w14:paraId="207492C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3330BEDB" w14:textId="242388F7"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23</w:t>
            </w:r>
          </w:p>
        </w:tc>
        <w:tc>
          <w:tcPr>
            <w:tcW w:w="1275" w:type="dxa"/>
            <w:tcBorders>
              <w:top w:val="nil"/>
              <w:left w:val="nil"/>
              <w:bottom w:val="single" w:sz="4" w:space="0" w:color="auto"/>
              <w:right w:val="single" w:sz="4" w:space="0" w:color="auto"/>
            </w:tcBorders>
            <w:shd w:val="clear" w:color="000000" w:fill="D9D9D9"/>
            <w:noWrap/>
            <w:vAlign w:val="center"/>
            <w:hideMark/>
          </w:tcPr>
          <w:p w14:paraId="70169F1D" w14:textId="7BCB700A"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23</w:t>
            </w:r>
          </w:p>
        </w:tc>
        <w:tc>
          <w:tcPr>
            <w:tcW w:w="1134" w:type="dxa"/>
            <w:tcBorders>
              <w:top w:val="nil"/>
              <w:left w:val="nil"/>
              <w:bottom w:val="single" w:sz="4" w:space="0" w:color="auto"/>
              <w:right w:val="single" w:sz="4" w:space="0" w:color="auto"/>
            </w:tcBorders>
            <w:shd w:val="clear" w:color="auto" w:fill="auto"/>
            <w:noWrap/>
            <w:vAlign w:val="center"/>
            <w:hideMark/>
          </w:tcPr>
          <w:p w14:paraId="2EE3074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569B36C9"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19</w:t>
            </w:r>
          </w:p>
        </w:tc>
        <w:tc>
          <w:tcPr>
            <w:tcW w:w="1276" w:type="dxa"/>
            <w:tcBorders>
              <w:top w:val="nil"/>
              <w:left w:val="nil"/>
              <w:bottom w:val="single" w:sz="4" w:space="0" w:color="auto"/>
              <w:right w:val="single" w:sz="4" w:space="0" w:color="auto"/>
            </w:tcBorders>
            <w:shd w:val="clear" w:color="000000" w:fill="D9D9D9"/>
            <w:noWrap/>
            <w:vAlign w:val="center"/>
            <w:hideMark/>
          </w:tcPr>
          <w:p w14:paraId="1B91B0DC" w14:textId="42949BA3"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F3ABAB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4B19F3AB" w14:textId="1702408F"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25</w:t>
            </w:r>
          </w:p>
        </w:tc>
        <w:tc>
          <w:tcPr>
            <w:tcW w:w="1417" w:type="dxa"/>
            <w:tcBorders>
              <w:top w:val="nil"/>
              <w:left w:val="nil"/>
              <w:bottom w:val="single" w:sz="4" w:space="0" w:color="auto"/>
              <w:right w:val="single" w:sz="4" w:space="0" w:color="auto"/>
            </w:tcBorders>
            <w:shd w:val="clear" w:color="000000" w:fill="D9D9D9"/>
            <w:noWrap/>
            <w:vAlign w:val="center"/>
            <w:hideMark/>
          </w:tcPr>
          <w:p w14:paraId="3DA5C442" w14:textId="7FB7DC34"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25</w:t>
            </w:r>
          </w:p>
        </w:tc>
      </w:tr>
      <w:tr w:rsidR="0097427E" w:rsidRPr="00914AE9" w14:paraId="0BDF9505"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612DF36"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Flour based snacks (e.g. pretzels, crackers)</w:t>
            </w:r>
          </w:p>
        </w:tc>
        <w:tc>
          <w:tcPr>
            <w:tcW w:w="1134" w:type="dxa"/>
            <w:tcBorders>
              <w:top w:val="nil"/>
              <w:left w:val="nil"/>
              <w:bottom w:val="single" w:sz="4" w:space="0" w:color="auto"/>
              <w:right w:val="single" w:sz="4" w:space="0" w:color="auto"/>
            </w:tcBorders>
            <w:shd w:val="clear" w:color="auto" w:fill="auto"/>
            <w:noWrap/>
            <w:vAlign w:val="center"/>
            <w:hideMark/>
          </w:tcPr>
          <w:p w14:paraId="2D09F95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2AED5C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384BC0A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29C73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CC63F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230205" w14:textId="14213ECB" w:rsidR="0097427E" w:rsidRPr="005F0965" w:rsidRDefault="005E5484" w:rsidP="00887453">
            <w:pPr>
              <w:keepNext/>
              <w:keepLines/>
              <w:tabs>
                <w:tab w:val="decimal" w:pos="567"/>
              </w:tabs>
              <w:spacing w:before="40" w:after="40"/>
              <w:rPr>
                <w:color w:val="000000"/>
                <w:sz w:val="18"/>
                <w:szCs w:val="18"/>
                <w:highlight w:val="yellow"/>
                <w:lang w:eastAsia="en-GB"/>
              </w:rPr>
            </w:pPr>
            <w:r>
              <w:rPr>
                <w:color w:val="000000"/>
                <w:sz w:val="18"/>
                <w:szCs w:val="18"/>
              </w:rPr>
              <w:t>&lt;</w:t>
            </w:r>
            <w:r w:rsidR="0097427E" w:rsidRPr="005F0965">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11621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31EDECB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0FA018A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3BAEB52E"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1B649113"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Cookies, pancakes, waffles, sweet pastries (rolls, doughnuts, muffins)</w:t>
            </w:r>
          </w:p>
        </w:tc>
        <w:tc>
          <w:tcPr>
            <w:tcW w:w="1134" w:type="dxa"/>
            <w:tcBorders>
              <w:top w:val="nil"/>
              <w:left w:val="nil"/>
              <w:bottom w:val="single" w:sz="4" w:space="0" w:color="auto"/>
              <w:right w:val="single" w:sz="4" w:space="0" w:color="auto"/>
            </w:tcBorders>
            <w:shd w:val="clear" w:color="auto" w:fill="auto"/>
            <w:noWrap/>
            <w:vAlign w:val="center"/>
            <w:hideMark/>
          </w:tcPr>
          <w:p w14:paraId="7C1E387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2E69917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11</w:t>
            </w:r>
          </w:p>
        </w:tc>
        <w:tc>
          <w:tcPr>
            <w:tcW w:w="1275" w:type="dxa"/>
            <w:tcBorders>
              <w:top w:val="nil"/>
              <w:left w:val="nil"/>
              <w:bottom w:val="single" w:sz="4" w:space="0" w:color="auto"/>
              <w:right w:val="single" w:sz="4" w:space="0" w:color="auto"/>
            </w:tcBorders>
            <w:shd w:val="clear" w:color="000000" w:fill="D9D9D9"/>
            <w:noWrap/>
            <w:vAlign w:val="center"/>
            <w:hideMark/>
          </w:tcPr>
          <w:p w14:paraId="22FE407F" w14:textId="2CC57F2A"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EFD1FC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1FB9E93F"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10</w:t>
            </w:r>
          </w:p>
        </w:tc>
        <w:tc>
          <w:tcPr>
            <w:tcW w:w="1276" w:type="dxa"/>
            <w:tcBorders>
              <w:top w:val="nil"/>
              <w:left w:val="nil"/>
              <w:bottom w:val="single" w:sz="4" w:space="0" w:color="auto"/>
              <w:right w:val="single" w:sz="4" w:space="0" w:color="auto"/>
            </w:tcBorders>
            <w:shd w:val="clear" w:color="000000" w:fill="D9D9D9"/>
            <w:noWrap/>
            <w:vAlign w:val="center"/>
            <w:hideMark/>
          </w:tcPr>
          <w:p w14:paraId="3A35CD56" w14:textId="0692508C"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14:paraId="3D131F9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21B03C1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18</w:t>
            </w:r>
          </w:p>
        </w:tc>
        <w:tc>
          <w:tcPr>
            <w:tcW w:w="1417" w:type="dxa"/>
            <w:tcBorders>
              <w:top w:val="nil"/>
              <w:left w:val="nil"/>
              <w:bottom w:val="single" w:sz="4" w:space="0" w:color="auto"/>
              <w:right w:val="single" w:sz="4" w:space="0" w:color="auto"/>
            </w:tcBorders>
            <w:shd w:val="clear" w:color="000000" w:fill="D9D9D9"/>
            <w:noWrap/>
            <w:vAlign w:val="center"/>
            <w:hideMark/>
          </w:tcPr>
          <w:p w14:paraId="00FE6D2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18</w:t>
            </w:r>
          </w:p>
        </w:tc>
      </w:tr>
      <w:tr w:rsidR="0097427E" w:rsidRPr="00914AE9" w14:paraId="12B73FF3"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869862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meat, poultry &amp; game in whole cuts or pieces –fat content ≤10% fat</w:t>
            </w:r>
          </w:p>
        </w:tc>
        <w:tc>
          <w:tcPr>
            <w:tcW w:w="1134" w:type="dxa"/>
            <w:tcBorders>
              <w:top w:val="nil"/>
              <w:left w:val="nil"/>
              <w:bottom w:val="single" w:sz="4" w:space="0" w:color="auto"/>
              <w:right w:val="single" w:sz="4" w:space="0" w:color="auto"/>
            </w:tcBorders>
            <w:shd w:val="clear" w:color="auto" w:fill="auto"/>
            <w:noWrap/>
            <w:vAlign w:val="center"/>
            <w:hideMark/>
          </w:tcPr>
          <w:p w14:paraId="434C15F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F3FE2C" w14:textId="183789BA" w:rsidR="0097427E" w:rsidRPr="00BA1413" w:rsidRDefault="00DC6302" w:rsidP="00887453">
            <w:pPr>
              <w:keepNext/>
              <w:keepLines/>
              <w:tabs>
                <w:tab w:val="decimal" w:pos="567"/>
              </w:tabs>
              <w:spacing w:before="40" w:after="40"/>
              <w:rPr>
                <w:color w:val="000000"/>
                <w:sz w:val="18"/>
                <w:szCs w:val="18"/>
                <w:highlight w:val="yellow"/>
                <w:lang w:eastAsia="en-GB"/>
              </w:rPr>
            </w:pPr>
            <w:r>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236ABC79" w14:textId="3C7A33A1" w:rsidR="0097427E" w:rsidRPr="00BA1413" w:rsidRDefault="00DC6302" w:rsidP="00887453">
            <w:pPr>
              <w:keepNext/>
              <w:keepLines/>
              <w:tabs>
                <w:tab w:val="decimal" w:pos="567"/>
              </w:tabs>
              <w:spacing w:before="40" w:after="40"/>
              <w:rPr>
                <w:color w:val="000000"/>
                <w:sz w:val="18"/>
                <w:szCs w:val="18"/>
                <w:highlight w:val="yellow"/>
                <w:lang w:eastAsia="en-GB"/>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50CD234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D04DC3" w14:textId="3394B1BE"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14:paraId="1A44174C" w14:textId="3473FDD7"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13E6FD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13554B8C" w14:textId="701D5F00"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4A3FF56D" w14:textId="413BBB0F"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3E8EA437"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1B1D0F97"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meat, poultry &amp; game in whole cuts or pieces –fat content &gt;10% fat</w:t>
            </w:r>
          </w:p>
        </w:tc>
        <w:tc>
          <w:tcPr>
            <w:tcW w:w="1134" w:type="dxa"/>
            <w:tcBorders>
              <w:top w:val="nil"/>
              <w:left w:val="nil"/>
              <w:bottom w:val="single" w:sz="4" w:space="0" w:color="auto"/>
              <w:right w:val="single" w:sz="4" w:space="0" w:color="auto"/>
            </w:tcBorders>
            <w:shd w:val="clear" w:color="auto" w:fill="auto"/>
            <w:noWrap/>
            <w:vAlign w:val="center"/>
            <w:hideMark/>
          </w:tcPr>
          <w:p w14:paraId="44EBE42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289D87C3" w14:textId="70A09DD1" w:rsidR="0097427E" w:rsidRPr="00BA1413" w:rsidRDefault="00DC6302" w:rsidP="00887453">
            <w:pPr>
              <w:keepNext/>
              <w:keepLines/>
              <w:tabs>
                <w:tab w:val="decimal" w:pos="567"/>
              </w:tabs>
              <w:spacing w:before="40" w:after="40"/>
              <w:rPr>
                <w:color w:val="000000"/>
                <w:sz w:val="18"/>
                <w:szCs w:val="18"/>
                <w:highlight w:val="yellow"/>
                <w:lang w:eastAsia="en-GB"/>
              </w:rPr>
            </w:pPr>
            <w:r>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3E6E0F8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1F56265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47092328"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5</w:t>
            </w:r>
          </w:p>
        </w:tc>
        <w:tc>
          <w:tcPr>
            <w:tcW w:w="1276" w:type="dxa"/>
            <w:tcBorders>
              <w:top w:val="nil"/>
              <w:left w:val="nil"/>
              <w:bottom w:val="single" w:sz="4" w:space="0" w:color="auto"/>
              <w:right w:val="single" w:sz="4" w:space="0" w:color="auto"/>
            </w:tcBorders>
            <w:shd w:val="clear" w:color="000000" w:fill="D9D9D9"/>
            <w:noWrap/>
            <w:vAlign w:val="center"/>
            <w:hideMark/>
          </w:tcPr>
          <w:p w14:paraId="449689AD"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E2C8B0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6DDDD1C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14:paraId="71C5710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4</w:t>
            </w:r>
          </w:p>
        </w:tc>
      </w:tr>
      <w:tr w:rsidR="0097427E" w:rsidRPr="00914AE9" w14:paraId="16838DDE"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13E972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Dried meat</w:t>
            </w:r>
          </w:p>
        </w:tc>
        <w:tc>
          <w:tcPr>
            <w:tcW w:w="1134" w:type="dxa"/>
            <w:tcBorders>
              <w:top w:val="nil"/>
              <w:left w:val="nil"/>
              <w:bottom w:val="single" w:sz="4" w:space="0" w:color="auto"/>
              <w:right w:val="single" w:sz="4" w:space="0" w:color="auto"/>
            </w:tcBorders>
            <w:shd w:val="clear" w:color="auto" w:fill="auto"/>
            <w:noWrap/>
            <w:vAlign w:val="center"/>
            <w:hideMark/>
          </w:tcPr>
          <w:p w14:paraId="59390CA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A754E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275" w:type="dxa"/>
            <w:tcBorders>
              <w:top w:val="nil"/>
              <w:left w:val="nil"/>
              <w:bottom w:val="single" w:sz="4" w:space="0" w:color="auto"/>
              <w:right w:val="single" w:sz="4" w:space="0" w:color="auto"/>
            </w:tcBorders>
            <w:shd w:val="clear" w:color="auto" w:fill="auto"/>
            <w:noWrap/>
            <w:vAlign w:val="center"/>
            <w:hideMark/>
          </w:tcPr>
          <w:p w14:paraId="3A723A3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4B2FAD9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234561"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276" w:type="dxa"/>
            <w:tcBorders>
              <w:top w:val="nil"/>
              <w:left w:val="nil"/>
              <w:bottom w:val="single" w:sz="4" w:space="0" w:color="auto"/>
              <w:right w:val="single" w:sz="4" w:space="0" w:color="auto"/>
            </w:tcBorders>
            <w:shd w:val="clear" w:color="auto" w:fill="auto"/>
            <w:noWrap/>
            <w:vAlign w:val="center"/>
            <w:hideMark/>
          </w:tcPr>
          <w:p w14:paraId="07299E0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&lt;1</w:t>
            </w:r>
          </w:p>
        </w:tc>
        <w:tc>
          <w:tcPr>
            <w:tcW w:w="1134" w:type="dxa"/>
            <w:tcBorders>
              <w:top w:val="nil"/>
              <w:left w:val="nil"/>
              <w:bottom w:val="single" w:sz="4" w:space="0" w:color="auto"/>
              <w:right w:val="single" w:sz="4" w:space="0" w:color="auto"/>
            </w:tcBorders>
            <w:shd w:val="clear" w:color="auto" w:fill="auto"/>
            <w:noWrap/>
            <w:vAlign w:val="center"/>
            <w:hideMark/>
          </w:tcPr>
          <w:p w14:paraId="62A0AC9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4909F73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1E5DFB6F"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344F1B5F"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E64E7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Dried sausages (from raw meat)</w:t>
            </w:r>
          </w:p>
        </w:tc>
        <w:tc>
          <w:tcPr>
            <w:tcW w:w="1134" w:type="dxa"/>
            <w:tcBorders>
              <w:top w:val="nil"/>
              <w:left w:val="nil"/>
              <w:bottom w:val="single" w:sz="4" w:space="0" w:color="auto"/>
              <w:right w:val="single" w:sz="4" w:space="0" w:color="auto"/>
            </w:tcBorders>
            <w:shd w:val="clear" w:color="auto" w:fill="auto"/>
            <w:noWrap/>
            <w:vAlign w:val="center"/>
            <w:hideMark/>
          </w:tcPr>
          <w:p w14:paraId="515E379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87E424" w14:textId="40C3B394" w:rsidR="0097427E" w:rsidRPr="00AD0A38" w:rsidRDefault="00AD0A38" w:rsidP="00887453">
            <w:pPr>
              <w:keepNext/>
              <w:keepLines/>
              <w:tabs>
                <w:tab w:val="decimal" w:pos="567"/>
              </w:tabs>
              <w:spacing w:before="40" w:after="40"/>
              <w:rPr>
                <w:color w:val="000000"/>
                <w:sz w:val="18"/>
                <w:szCs w:val="18"/>
                <w:lang w:eastAsia="en-GB"/>
              </w:rPr>
            </w:pPr>
            <w:r w:rsidRPr="00AD0A38">
              <w:rPr>
                <w:color w:val="000000"/>
                <w:sz w:val="18"/>
                <w:szCs w:val="18"/>
                <w:lang w:eastAsia="en-GB"/>
              </w:rPr>
              <w:t>3</w:t>
            </w:r>
          </w:p>
        </w:tc>
        <w:tc>
          <w:tcPr>
            <w:tcW w:w="1275" w:type="dxa"/>
            <w:tcBorders>
              <w:top w:val="nil"/>
              <w:left w:val="nil"/>
              <w:bottom w:val="single" w:sz="4" w:space="0" w:color="auto"/>
              <w:right w:val="single" w:sz="4" w:space="0" w:color="auto"/>
            </w:tcBorders>
            <w:shd w:val="clear" w:color="auto" w:fill="auto"/>
            <w:noWrap/>
            <w:vAlign w:val="center"/>
            <w:hideMark/>
          </w:tcPr>
          <w:p w14:paraId="464800B6" w14:textId="006B073D" w:rsidR="0097427E" w:rsidRPr="00BA1413" w:rsidRDefault="00DC6302" w:rsidP="00887453">
            <w:pPr>
              <w:keepNext/>
              <w:keepLines/>
              <w:tabs>
                <w:tab w:val="decimal" w:pos="567"/>
              </w:tabs>
              <w:spacing w:before="40" w:after="40"/>
              <w:rPr>
                <w:color w:val="000000"/>
                <w:sz w:val="18"/>
                <w:szCs w:val="18"/>
                <w:highlight w:val="yellow"/>
                <w:lang w:eastAsia="en-GB"/>
              </w:rPr>
            </w:pPr>
            <w:r>
              <w:rPr>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5350127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E162F4" w14:textId="31B46DF5"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9E10EA" w14:textId="6EC67D6C"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FBDEE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A28A4D" w14:textId="57780564"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5BA06BA9" w14:textId="70FF8E32"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1ADF6002"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9D9D158"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Salts &amp; condiments</w:t>
            </w:r>
          </w:p>
        </w:tc>
        <w:tc>
          <w:tcPr>
            <w:tcW w:w="1134" w:type="dxa"/>
            <w:tcBorders>
              <w:top w:val="nil"/>
              <w:left w:val="nil"/>
              <w:bottom w:val="single" w:sz="4" w:space="0" w:color="auto"/>
              <w:right w:val="single" w:sz="4" w:space="0" w:color="auto"/>
            </w:tcBorders>
            <w:shd w:val="clear" w:color="auto" w:fill="auto"/>
            <w:noWrap/>
            <w:vAlign w:val="center"/>
            <w:hideMark/>
          </w:tcPr>
          <w:p w14:paraId="144101E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F2A1B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23336039"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04FF23A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07994E"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14:paraId="7D9124C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443D695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02FE461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6FD35E8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r>
      <w:tr w:rsidR="0097427E" w:rsidRPr="00914AE9" w14:paraId="60E61DFA"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0672DEDC"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Sauces &amp; toppings (including mayonnaise and salad dressings)</w:t>
            </w:r>
          </w:p>
        </w:tc>
        <w:tc>
          <w:tcPr>
            <w:tcW w:w="1134" w:type="dxa"/>
            <w:tcBorders>
              <w:top w:val="nil"/>
              <w:left w:val="nil"/>
              <w:bottom w:val="single" w:sz="4" w:space="0" w:color="auto"/>
              <w:right w:val="single" w:sz="4" w:space="0" w:color="auto"/>
            </w:tcBorders>
            <w:shd w:val="clear" w:color="auto" w:fill="auto"/>
            <w:noWrap/>
            <w:vAlign w:val="center"/>
            <w:hideMark/>
          </w:tcPr>
          <w:p w14:paraId="7FDC3EE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3F6587AC" w14:textId="038B0CD9"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43</w:t>
            </w:r>
          </w:p>
        </w:tc>
        <w:tc>
          <w:tcPr>
            <w:tcW w:w="1275" w:type="dxa"/>
            <w:tcBorders>
              <w:top w:val="nil"/>
              <w:left w:val="nil"/>
              <w:bottom w:val="single" w:sz="4" w:space="0" w:color="auto"/>
              <w:right w:val="single" w:sz="4" w:space="0" w:color="auto"/>
            </w:tcBorders>
            <w:shd w:val="clear" w:color="000000" w:fill="D9D9D9"/>
            <w:noWrap/>
            <w:vAlign w:val="center"/>
            <w:hideMark/>
          </w:tcPr>
          <w:p w14:paraId="3512990B" w14:textId="01B5044D" w:rsidR="0097427E" w:rsidRPr="00BA1413"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42</w:t>
            </w:r>
          </w:p>
        </w:tc>
        <w:tc>
          <w:tcPr>
            <w:tcW w:w="1134" w:type="dxa"/>
            <w:tcBorders>
              <w:top w:val="nil"/>
              <w:left w:val="nil"/>
              <w:bottom w:val="single" w:sz="4" w:space="0" w:color="auto"/>
              <w:right w:val="single" w:sz="4" w:space="0" w:color="auto"/>
            </w:tcBorders>
            <w:shd w:val="clear" w:color="auto" w:fill="auto"/>
            <w:noWrap/>
            <w:vAlign w:val="center"/>
            <w:hideMark/>
          </w:tcPr>
          <w:p w14:paraId="2586006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20C96AB9" w14:textId="1AD2EA65"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38</w:t>
            </w:r>
          </w:p>
        </w:tc>
        <w:tc>
          <w:tcPr>
            <w:tcW w:w="1276" w:type="dxa"/>
            <w:tcBorders>
              <w:top w:val="nil"/>
              <w:left w:val="nil"/>
              <w:bottom w:val="single" w:sz="4" w:space="0" w:color="auto"/>
              <w:right w:val="single" w:sz="4" w:space="0" w:color="auto"/>
            </w:tcBorders>
            <w:shd w:val="clear" w:color="000000" w:fill="D9D9D9"/>
            <w:noWrap/>
            <w:vAlign w:val="center"/>
            <w:hideMark/>
          </w:tcPr>
          <w:p w14:paraId="6A0FFABE" w14:textId="434AB696" w:rsidR="0097427E" w:rsidRPr="005F0965" w:rsidRDefault="00AD0A38" w:rsidP="00887453">
            <w:pPr>
              <w:keepNext/>
              <w:keepLines/>
              <w:tabs>
                <w:tab w:val="decimal" w:pos="567"/>
              </w:tabs>
              <w:spacing w:before="40" w:after="40"/>
              <w:rPr>
                <w:color w:val="000000"/>
                <w:sz w:val="18"/>
                <w:szCs w:val="18"/>
                <w:highlight w:val="yellow"/>
                <w:lang w:eastAsia="en-GB"/>
              </w:rPr>
            </w:pPr>
            <w:r>
              <w:rPr>
                <w:color w:val="000000"/>
                <w:sz w:val="18"/>
                <w:szCs w:val="18"/>
              </w:rPr>
              <w:t>37</w:t>
            </w:r>
          </w:p>
        </w:tc>
        <w:tc>
          <w:tcPr>
            <w:tcW w:w="1134" w:type="dxa"/>
            <w:tcBorders>
              <w:top w:val="nil"/>
              <w:left w:val="nil"/>
              <w:bottom w:val="single" w:sz="4" w:space="0" w:color="auto"/>
              <w:right w:val="single" w:sz="4" w:space="0" w:color="auto"/>
            </w:tcBorders>
            <w:shd w:val="clear" w:color="auto" w:fill="auto"/>
            <w:noWrap/>
            <w:vAlign w:val="center"/>
            <w:hideMark/>
          </w:tcPr>
          <w:p w14:paraId="02134C6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000000" w:fill="D9D9D9"/>
            <w:noWrap/>
            <w:vAlign w:val="center"/>
            <w:hideMark/>
          </w:tcPr>
          <w:p w14:paraId="3967BFA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27</w:t>
            </w:r>
          </w:p>
        </w:tc>
        <w:tc>
          <w:tcPr>
            <w:tcW w:w="1417" w:type="dxa"/>
            <w:tcBorders>
              <w:top w:val="nil"/>
              <w:left w:val="nil"/>
              <w:bottom w:val="single" w:sz="4" w:space="0" w:color="auto"/>
              <w:right w:val="single" w:sz="4" w:space="0" w:color="auto"/>
            </w:tcBorders>
            <w:shd w:val="clear" w:color="000000" w:fill="D9D9D9"/>
            <w:noWrap/>
            <w:vAlign w:val="center"/>
            <w:hideMark/>
          </w:tcPr>
          <w:p w14:paraId="5C310DAA"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27</w:t>
            </w:r>
          </w:p>
        </w:tc>
      </w:tr>
      <w:tr w:rsidR="0097427E" w:rsidRPr="00914AE9" w14:paraId="39ACB69B"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18FD3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Processed nuts</w:t>
            </w:r>
          </w:p>
        </w:tc>
        <w:tc>
          <w:tcPr>
            <w:tcW w:w="1134" w:type="dxa"/>
            <w:tcBorders>
              <w:top w:val="nil"/>
              <w:left w:val="nil"/>
              <w:bottom w:val="single" w:sz="4" w:space="0" w:color="auto"/>
              <w:right w:val="single" w:sz="4" w:space="0" w:color="auto"/>
            </w:tcBorders>
            <w:shd w:val="clear" w:color="auto" w:fill="auto"/>
            <w:noWrap/>
            <w:vAlign w:val="center"/>
            <w:hideMark/>
          </w:tcPr>
          <w:p w14:paraId="14B85CA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7FC6B1B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275" w:type="dxa"/>
            <w:tcBorders>
              <w:top w:val="nil"/>
              <w:left w:val="nil"/>
              <w:bottom w:val="single" w:sz="4" w:space="0" w:color="auto"/>
              <w:right w:val="single" w:sz="4" w:space="0" w:color="auto"/>
            </w:tcBorders>
            <w:shd w:val="clear" w:color="auto" w:fill="auto"/>
            <w:noWrap/>
            <w:vAlign w:val="center"/>
            <w:hideMark/>
          </w:tcPr>
          <w:p w14:paraId="049C341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778706D5"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121E073A"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14:paraId="2507FAA3"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E270C64"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7B13359C"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c>
          <w:tcPr>
            <w:tcW w:w="1417" w:type="dxa"/>
            <w:tcBorders>
              <w:top w:val="nil"/>
              <w:left w:val="nil"/>
              <w:bottom w:val="single" w:sz="4" w:space="0" w:color="auto"/>
              <w:right w:val="single" w:sz="4" w:space="0" w:color="auto"/>
            </w:tcBorders>
            <w:shd w:val="clear" w:color="auto" w:fill="auto"/>
            <w:noWrap/>
            <w:vAlign w:val="center"/>
            <w:hideMark/>
          </w:tcPr>
          <w:p w14:paraId="2AFCA75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r w:rsidR="0097427E" w:rsidRPr="00914AE9" w14:paraId="3D57C20A" w14:textId="77777777" w:rsidTr="00E9707E">
        <w:trPr>
          <w:trHeight w:val="28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1E637C5"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Potato chips including starch based snacks from roots, tubers, pulses and legumes</w:t>
            </w:r>
          </w:p>
        </w:tc>
        <w:tc>
          <w:tcPr>
            <w:tcW w:w="1134" w:type="dxa"/>
            <w:tcBorders>
              <w:top w:val="nil"/>
              <w:left w:val="nil"/>
              <w:bottom w:val="single" w:sz="4" w:space="0" w:color="auto"/>
              <w:right w:val="single" w:sz="4" w:space="0" w:color="auto"/>
            </w:tcBorders>
            <w:shd w:val="clear" w:color="auto" w:fill="auto"/>
            <w:noWrap/>
            <w:vAlign w:val="center"/>
            <w:hideMark/>
          </w:tcPr>
          <w:p w14:paraId="67F643C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6D93008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3B87658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4FA27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18C40B"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6725836E"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252FFDF6"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2E8888"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14:paraId="3D388BCB"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r>
      <w:tr w:rsidR="0097427E" w:rsidRPr="00914AE9" w14:paraId="0356B23F" w14:textId="77777777" w:rsidTr="00E9707E">
        <w:trPr>
          <w:trHeight w:val="285"/>
        </w:trPr>
        <w:tc>
          <w:tcPr>
            <w:tcW w:w="3828" w:type="dxa"/>
            <w:tcBorders>
              <w:top w:val="nil"/>
              <w:left w:val="single" w:sz="4" w:space="0" w:color="auto"/>
              <w:bottom w:val="single" w:sz="4" w:space="0" w:color="auto"/>
              <w:right w:val="single" w:sz="4" w:space="0" w:color="auto"/>
            </w:tcBorders>
            <w:shd w:val="clear" w:color="000000" w:fill="D9D9D9"/>
            <w:noWrap/>
            <w:vAlign w:val="center"/>
            <w:hideMark/>
          </w:tcPr>
          <w:p w14:paraId="6ABBC48F" w14:textId="77777777" w:rsidR="0097427E" w:rsidRPr="00A56F7F" w:rsidRDefault="0097427E" w:rsidP="00887453">
            <w:pPr>
              <w:keepNext/>
              <w:keepLines/>
              <w:spacing w:before="40" w:after="40"/>
              <w:rPr>
                <w:color w:val="000000"/>
                <w:sz w:val="18"/>
                <w:szCs w:val="18"/>
                <w:lang w:eastAsia="en-GB"/>
              </w:rPr>
            </w:pPr>
            <w:r w:rsidRPr="00A56F7F">
              <w:rPr>
                <w:color w:val="000000"/>
                <w:sz w:val="18"/>
                <w:szCs w:val="18"/>
                <w:lang w:eastAsia="en-GB"/>
              </w:rPr>
              <w:t>Rosemary</w:t>
            </w:r>
          </w:p>
        </w:tc>
        <w:tc>
          <w:tcPr>
            <w:tcW w:w="1134" w:type="dxa"/>
            <w:tcBorders>
              <w:top w:val="nil"/>
              <w:left w:val="nil"/>
              <w:bottom w:val="single" w:sz="4" w:space="0" w:color="auto"/>
              <w:right w:val="single" w:sz="4" w:space="0" w:color="auto"/>
            </w:tcBorders>
            <w:shd w:val="clear" w:color="000000" w:fill="D9D9D9"/>
            <w:noWrap/>
            <w:vAlign w:val="center"/>
            <w:hideMark/>
          </w:tcPr>
          <w:p w14:paraId="4070945D"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9F89BA3"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center"/>
            <w:hideMark/>
          </w:tcPr>
          <w:p w14:paraId="11778C9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325A390E"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A4B95A4"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sidRPr="005F0965">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B8A053" w14:textId="77777777" w:rsidR="0097427E" w:rsidRPr="005F0965" w:rsidRDefault="0097427E" w:rsidP="00887453">
            <w:pPr>
              <w:keepNext/>
              <w:keepLines/>
              <w:tabs>
                <w:tab w:val="decimal" w:pos="567"/>
              </w:tabs>
              <w:spacing w:before="40" w:after="40"/>
              <w:rPr>
                <w:color w:val="000000"/>
                <w:sz w:val="18"/>
                <w:szCs w:val="18"/>
                <w:highlight w:val="yellow"/>
                <w:lang w:eastAsia="en-GB"/>
              </w:rPr>
            </w:pPr>
            <w:r>
              <w:rPr>
                <w:color w:val="000000"/>
                <w:sz w:val="18"/>
                <w:szCs w:val="18"/>
              </w:rPr>
              <w:t>4</w:t>
            </w:r>
          </w:p>
        </w:tc>
        <w:tc>
          <w:tcPr>
            <w:tcW w:w="1134" w:type="dxa"/>
            <w:tcBorders>
              <w:top w:val="nil"/>
              <w:left w:val="nil"/>
              <w:bottom w:val="single" w:sz="4" w:space="0" w:color="auto"/>
              <w:right w:val="single" w:sz="4" w:space="0" w:color="auto"/>
            </w:tcBorders>
            <w:shd w:val="clear" w:color="000000" w:fill="D9D9D9"/>
            <w:noWrap/>
            <w:vAlign w:val="center"/>
            <w:hideMark/>
          </w:tcPr>
          <w:p w14:paraId="55EB71A2"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47339C1"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137B7C27" w14:textId="77777777" w:rsidR="0097427E" w:rsidRPr="00BA1413" w:rsidRDefault="0097427E" w:rsidP="00887453">
            <w:pPr>
              <w:keepNext/>
              <w:keepLines/>
              <w:tabs>
                <w:tab w:val="decimal" w:pos="567"/>
              </w:tabs>
              <w:spacing w:before="40" w:after="40"/>
              <w:rPr>
                <w:color w:val="000000"/>
                <w:sz w:val="18"/>
                <w:szCs w:val="18"/>
                <w:highlight w:val="yellow"/>
                <w:lang w:eastAsia="en-GB"/>
              </w:rPr>
            </w:pPr>
            <w:r w:rsidRPr="00BA1413">
              <w:rPr>
                <w:color w:val="000000"/>
                <w:sz w:val="18"/>
                <w:szCs w:val="18"/>
              </w:rPr>
              <w:t>&lt;1</w:t>
            </w:r>
          </w:p>
        </w:tc>
      </w:tr>
    </w:tbl>
    <w:p w14:paraId="3000D8B4" w14:textId="77777777" w:rsidR="0097427E" w:rsidRDefault="0097427E" w:rsidP="0097427E">
      <w:pPr>
        <w:rPr>
          <w:sz w:val="16"/>
          <w:szCs w:val="16"/>
        </w:rPr>
      </w:pPr>
      <w:r w:rsidRPr="00575F8E">
        <w:rPr>
          <w:sz w:val="16"/>
          <w:szCs w:val="16"/>
        </w:rPr>
        <w:sym w:font="Wingdings" w:char="F076"/>
      </w:r>
      <w:r>
        <w:rPr>
          <w:sz w:val="16"/>
          <w:szCs w:val="16"/>
        </w:rPr>
        <w:t xml:space="preserve">  </w:t>
      </w:r>
      <w:r w:rsidRPr="00575F8E">
        <w:rPr>
          <w:sz w:val="16"/>
          <w:szCs w:val="16"/>
        </w:rPr>
        <w:t>Based</w:t>
      </w:r>
      <w:r>
        <w:rPr>
          <w:sz w:val="16"/>
          <w:szCs w:val="16"/>
        </w:rPr>
        <w:t xml:space="preserve"> food consumption data from Day 1 and 2 respondents;</w:t>
      </w:r>
      <w:r>
        <w:rPr>
          <w:sz w:val="16"/>
          <w:szCs w:val="16"/>
        </w:rPr>
        <w:tab/>
      </w:r>
      <w:r w:rsidRPr="00575F8E">
        <w:rPr>
          <w:sz w:val="16"/>
          <w:szCs w:val="16"/>
        </w:rPr>
        <w:sym w:font="Wingdings 3" w:char="F073"/>
      </w:r>
      <w:r>
        <w:rPr>
          <w:sz w:val="16"/>
          <w:szCs w:val="16"/>
        </w:rPr>
        <w:t xml:space="preserve">  </w:t>
      </w:r>
      <w:r w:rsidRPr="00575F8E">
        <w:rPr>
          <w:sz w:val="16"/>
          <w:szCs w:val="16"/>
        </w:rPr>
        <w:t>Based on</w:t>
      </w:r>
      <w:r>
        <w:rPr>
          <w:sz w:val="16"/>
          <w:szCs w:val="16"/>
        </w:rPr>
        <w:t xml:space="preserve"> food consumption data from Day 1 </w:t>
      </w:r>
      <w:r w:rsidRPr="00575F8E">
        <w:rPr>
          <w:sz w:val="16"/>
          <w:szCs w:val="16"/>
        </w:rPr>
        <w:t>only</w:t>
      </w:r>
      <w:r>
        <w:rPr>
          <w:sz w:val="16"/>
          <w:szCs w:val="16"/>
        </w:rPr>
        <w:t>.</w:t>
      </w:r>
    </w:p>
    <w:p w14:paraId="2B86459D" w14:textId="77777777" w:rsidR="0097427E" w:rsidRDefault="0097427E" w:rsidP="0097427E">
      <w:pPr>
        <w:rPr>
          <w:sz w:val="16"/>
          <w:szCs w:val="16"/>
        </w:rPr>
      </w:pPr>
      <w:r>
        <w:rPr>
          <w:sz w:val="16"/>
          <w:szCs w:val="16"/>
        </w:rPr>
        <w:t>Shaded cells indicate major (≥5% contribution to estimated dietary exposures.</w:t>
      </w:r>
    </w:p>
    <w:p w14:paraId="1BD7D95A" w14:textId="731FE575" w:rsidR="00A54AC7" w:rsidRDefault="005E5484" w:rsidP="00DE0C4F">
      <w:pPr>
        <w:pStyle w:val="FSFigureTitle"/>
        <w:keepNext/>
        <w:keepLines/>
      </w:pPr>
      <w:bookmarkStart w:id="227" w:name="_Ref515900111"/>
      <w:bookmarkStart w:id="228" w:name="_Ref515961115"/>
      <w:bookmarkStart w:id="229" w:name="_Ref516221727"/>
      <w:r>
        <w:rPr>
          <w:noProof/>
          <w:lang w:eastAsia="en-GB" w:bidi="ar-SA"/>
        </w:rPr>
        <w:lastRenderedPageBreak/>
        <w:drawing>
          <wp:inline distT="0" distB="0" distL="0" distR="0" wp14:anchorId="4730F7A3" wp14:editId="5BFE3A4A">
            <wp:extent cx="9000000" cy="5126400"/>
            <wp:effectExtent l="0" t="0" r="0" b="0"/>
            <wp:docPr id="2" name="Picture 2" descr="Major contributing food categories to Carnosic acid plus Carnosol dietary exposures for the Added rosemary extract only_MPL and Naturally-occurring plus added rosemary extract_MPL scenarios. The major contributing food category is Sauces and toppings (including mayonnaise and salad dr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00000" cy="5126400"/>
                    </a:xfrm>
                    <a:prstGeom prst="rect">
                      <a:avLst/>
                    </a:prstGeom>
                    <a:noFill/>
                  </pic:spPr>
                </pic:pic>
              </a:graphicData>
            </a:graphic>
          </wp:inline>
        </w:drawing>
      </w:r>
    </w:p>
    <w:p w14:paraId="68D84C8B" w14:textId="12CE7A6C" w:rsidR="0097427E" w:rsidRDefault="0097427E" w:rsidP="00DE0C4F">
      <w:pPr>
        <w:pStyle w:val="FSFigureTitle"/>
        <w:keepNext/>
        <w:keepLines/>
        <w:rPr>
          <w:rFonts w:cs="Times New Roman"/>
          <w:sz w:val="16"/>
          <w:szCs w:val="16"/>
        </w:rPr>
      </w:pPr>
      <w:bookmarkStart w:id="230" w:name="_Ref524595216"/>
      <w:r w:rsidRPr="00981B2C">
        <w:t>Figure</w:t>
      </w:r>
      <w:r w:rsidR="004F277B">
        <w:t xml:space="preserve"> 4.</w:t>
      </w:r>
      <w:r w:rsidR="00BD09F0">
        <w:fldChar w:fldCharType="begin"/>
      </w:r>
      <w:r w:rsidR="00BD09F0">
        <w:instrText xml:space="preserve"> SEQ Figure \* ARABIC </w:instrText>
      </w:r>
      <w:r w:rsidR="00BD09F0">
        <w:fldChar w:fldCharType="separate"/>
      </w:r>
      <w:r w:rsidR="004C731A">
        <w:rPr>
          <w:noProof/>
        </w:rPr>
        <w:t>3</w:t>
      </w:r>
      <w:r w:rsidR="00BD09F0">
        <w:rPr>
          <w:noProof/>
        </w:rPr>
        <w:fldChar w:fldCharType="end"/>
      </w:r>
      <w:bookmarkEnd w:id="227"/>
      <w:bookmarkEnd w:id="228"/>
      <w:bookmarkEnd w:id="229"/>
      <w:bookmarkEnd w:id="230"/>
      <w:r w:rsidRPr="00981B2C">
        <w:t xml:space="preserve">: Major </w:t>
      </w:r>
      <w:r>
        <w:t xml:space="preserve">(≥5%) </w:t>
      </w:r>
      <w:r w:rsidRPr="00981B2C">
        <w:t xml:space="preserve">contributing food categories to </w:t>
      </w:r>
      <w:r w:rsidR="0048026B">
        <w:t>carnosic acid plus carnosol</w:t>
      </w:r>
      <w:r w:rsidRPr="00981B2C">
        <w:t xml:space="preserve"> dietary exposures for Australian and New Zealand population groups for the MPL antioxidant use scenarios</w:t>
      </w:r>
    </w:p>
    <w:p w14:paraId="4CFD5E31" w14:textId="0678C19E" w:rsidR="0097427E" w:rsidRPr="00720361" w:rsidRDefault="0097427E" w:rsidP="00856CCD"/>
    <w:p w14:paraId="53A34906" w14:textId="46B333FB" w:rsidR="003E5801" w:rsidRDefault="005E5484" w:rsidP="0097427E">
      <w:pPr>
        <w:pStyle w:val="FSFigureTitle"/>
        <w:keepNext/>
        <w:keepLines/>
      </w:pPr>
      <w:bookmarkStart w:id="231" w:name="_Ref516070572"/>
      <w:r>
        <w:rPr>
          <w:noProof/>
          <w:lang w:eastAsia="en-GB" w:bidi="ar-SA"/>
        </w:rPr>
        <w:lastRenderedPageBreak/>
        <w:drawing>
          <wp:inline distT="0" distB="0" distL="0" distR="0" wp14:anchorId="7B4D3405" wp14:editId="70B8981D">
            <wp:extent cx="9000000" cy="5126400"/>
            <wp:effectExtent l="0" t="0" r="0" b="0"/>
            <wp:docPr id="6" name="Picture 6" descr="Major contributing food categories to Carnosic acid plus Carnosol dietary exposures for the Added rosemary extract only_Usual Use and Naturally-occurring plus added rosemary extract_Usual Use scenarios. The major contributing food category is Sauces and toppings (including mayonnaise and salad dres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00000" cy="5126400"/>
                    </a:xfrm>
                    <a:prstGeom prst="rect">
                      <a:avLst/>
                    </a:prstGeom>
                    <a:noFill/>
                  </pic:spPr>
                </pic:pic>
              </a:graphicData>
            </a:graphic>
          </wp:inline>
        </w:drawing>
      </w:r>
    </w:p>
    <w:p w14:paraId="2F1354A5" w14:textId="526D81C7" w:rsidR="0097427E" w:rsidRPr="00CC31DB" w:rsidRDefault="004C731A" w:rsidP="0097427E">
      <w:pPr>
        <w:pStyle w:val="FSFigureTitle"/>
        <w:keepNext/>
        <w:keepLines/>
      </w:pPr>
      <w:bookmarkStart w:id="232" w:name="_Ref524599201"/>
      <w:bookmarkEnd w:id="231"/>
      <w:r w:rsidRPr="00981B2C">
        <w:t>Figure</w:t>
      </w:r>
      <w:r>
        <w:t xml:space="preserve"> 4.</w:t>
      </w:r>
      <w:r w:rsidR="00BD09F0">
        <w:fldChar w:fldCharType="begin"/>
      </w:r>
      <w:r w:rsidR="00BD09F0">
        <w:instrText xml:space="preserve"> SEQ Figure \* ARABIC </w:instrText>
      </w:r>
      <w:r w:rsidR="00BD09F0">
        <w:fldChar w:fldCharType="separate"/>
      </w:r>
      <w:r>
        <w:rPr>
          <w:noProof/>
        </w:rPr>
        <w:t>4</w:t>
      </w:r>
      <w:r w:rsidR="00BD09F0">
        <w:rPr>
          <w:noProof/>
        </w:rPr>
        <w:fldChar w:fldCharType="end"/>
      </w:r>
      <w:bookmarkEnd w:id="232"/>
      <w:r>
        <w:t xml:space="preserve">: </w:t>
      </w:r>
      <w:r w:rsidR="0097427E" w:rsidRPr="00720361">
        <w:t xml:space="preserve">Major </w:t>
      </w:r>
      <w:r w:rsidR="0097427E">
        <w:t xml:space="preserve">(≥5%) </w:t>
      </w:r>
      <w:r w:rsidR="0097427E" w:rsidRPr="00720361">
        <w:t xml:space="preserve">contributing food categories to </w:t>
      </w:r>
      <w:r w:rsidR="0048026B">
        <w:t>carnosic acid plus carnosol</w:t>
      </w:r>
      <w:r w:rsidR="0097427E" w:rsidRPr="00720361">
        <w:t xml:space="preserve"> dietary exposures for Australian and New Zealand population groups for the Usual Use scenarios</w:t>
      </w:r>
    </w:p>
    <w:bookmarkEnd w:id="211"/>
    <w:bookmarkEnd w:id="223"/>
    <w:bookmarkEnd w:id="224"/>
    <w:p w14:paraId="13A3056D" w14:textId="77777777" w:rsidR="0097427E" w:rsidRPr="00981B2C" w:rsidRDefault="0097427E" w:rsidP="0097427E">
      <w:pPr>
        <w:sectPr w:rsidR="0097427E" w:rsidRPr="00981B2C" w:rsidSect="00887453">
          <w:pgSz w:w="16838" w:h="11906" w:orient="landscape"/>
          <w:pgMar w:top="1418" w:right="1418" w:bottom="1418" w:left="1418" w:header="709" w:footer="709" w:gutter="0"/>
          <w:cols w:space="708"/>
          <w:docGrid w:linePitch="360"/>
        </w:sectPr>
      </w:pPr>
    </w:p>
    <w:p w14:paraId="01D19AEB" w14:textId="77777777" w:rsidR="00064C01" w:rsidRPr="00801555" w:rsidRDefault="00064C01" w:rsidP="00064C01">
      <w:pPr>
        <w:pStyle w:val="FSCh4Div"/>
        <w:keepNext/>
        <w:keepLines/>
        <w:ind w:left="851" w:hanging="851"/>
      </w:pPr>
      <w:bookmarkStart w:id="233" w:name="_Toc516668850"/>
      <w:bookmarkStart w:id="234" w:name="_Toc516668851"/>
      <w:r>
        <w:lastRenderedPageBreak/>
        <w:t>4.4.3</w:t>
      </w:r>
      <w:r>
        <w:tab/>
      </w:r>
      <w:r w:rsidRPr="00801555">
        <w:t>New Zealanders aged 5-14 years</w:t>
      </w:r>
    </w:p>
    <w:p w14:paraId="6130DD85" w14:textId="77777777" w:rsidR="00064C01" w:rsidRDefault="00064C01" w:rsidP="00064C01">
      <w:pPr>
        <w:pStyle w:val="Heading5"/>
        <w:keepLines/>
        <w:widowControl/>
        <w:spacing w:after="120"/>
        <w:ind w:left="0" w:firstLine="0"/>
      </w:pPr>
      <w:r>
        <w:t>4.4.3.1</w:t>
      </w:r>
      <w:r>
        <w:tab/>
        <w:t>MPL s</w:t>
      </w:r>
      <w:r w:rsidRPr="00914AE9">
        <w:t>cenarios</w:t>
      </w:r>
    </w:p>
    <w:p w14:paraId="2AAF2158" w14:textId="77777777" w:rsidR="00064C01" w:rsidRDefault="00064C01" w:rsidP="00064C01">
      <w:pPr>
        <w:keepNext/>
        <w:keepLines/>
      </w:pPr>
      <w:r w:rsidRPr="0065765A">
        <w:t xml:space="preserve">For the </w:t>
      </w:r>
      <w:r>
        <w:t>MPL scenarios (</w:t>
      </w:r>
      <w:r w:rsidRPr="0065765A">
        <w:rPr>
          <w:i/>
        </w:rPr>
        <w:t>Added rosemary extract only_MPL</w:t>
      </w:r>
      <w:r w:rsidRPr="0065765A">
        <w:t xml:space="preserve"> and </w:t>
      </w:r>
      <w:r w:rsidRPr="0065765A">
        <w:rPr>
          <w:i/>
        </w:rPr>
        <w:t>Naturally-occurring plus added rosemary extract_MPL</w:t>
      </w:r>
      <w:r>
        <w:t>)</w:t>
      </w:r>
      <w:r w:rsidRPr="0065765A">
        <w:t xml:space="preserve">, the major contributing food groups to dietary exposures for New </w:t>
      </w:r>
      <w:r>
        <w:t>Zealanders aged 5-14 years are:</w:t>
      </w:r>
    </w:p>
    <w:p w14:paraId="1B9EF846" w14:textId="3F3E54DB" w:rsidR="00064C01" w:rsidRDefault="00064C01" w:rsidP="00064C01">
      <w:pPr>
        <w:pStyle w:val="FSBullet1"/>
      </w:pPr>
      <w:r w:rsidRPr="0065765A">
        <w:t>Sauces &amp; toppings (including ma</w:t>
      </w:r>
      <w:r w:rsidR="00AD0A38">
        <w:t>yonnaise and salad dressings) (28</w:t>
      </w:r>
      <w:r>
        <w:t>%)</w:t>
      </w:r>
    </w:p>
    <w:p w14:paraId="3CA75DF6" w14:textId="77777777" w:rsidR="00064C01" w:rsidRDefault="00064C01" w:rsidP="00064C01">
      <w:pPr>
        <w:pStyle w:val="FSBullet1"/>
      </w:pPr>
      <w:r w:rsidRPr="0065765A">
        <w:t>Grain bars, breakfast bars, breakfast cereals</w:t>
      </w:r>
      <w:r>
        <w:t xml:space="preserve"> (27%)</w:t>
      </w:r>
    </w:p>
    <w:p w14:paraId="7BCC799C" w14:textId="77777777" w:rsidR="00064C01" w:rsidRDefault="00064C01" w:rsidP="00064C01">
      <w:pPr>
        <w:pStyle w:val="FSBullet1"/>
      </w:pPr>
      <w:r w:rsidRPr="0065765A">
        <w:t>Cookies, pancakes, waffles, sweet pastries (rolls, doughnuts, muffins) (19%)</w:t>
      </w:r>
      <w:r>
        <w:t>; and</w:t>
      </w:r>
    </w:p>
    <w:p w14:paraId="6E624E4E" w14:textId="4D7BDAD6" w:rsidR="00064C01" w:rsidRPr="0065765A" w:rsidRDefault="00064C01" w:rsidP="00064C01">
      <w:pPr>
        <w:pStyle w:val="FSBullet1"/>
        <w:spacing w:after="240"/>
        <w:ind w:left="499" w:hanging="357"/>
      </w:pPr>
      <w:r w:rsidRPr="0065765A">
        <w:t>Margarines (so</w:t>
      </w:r>
      <w:r w:rsidR="00AD0A38">
        <w:t>lid &amp; liquid only), &lt;80% fat (9</w:t>
      </w:r>
      <w:r w:rsidRPr="0065765A">
        <w:t>%).</w:t>
      </w:r>
    </w:p>
    <w:p w14:paraId="4C62F142" w14:textId="71302AAB" w:rsidR="00064C01" w:rsidRPr="008D41ED" w:rsidRDefault="00064C01" w:rsidP="008D41ED">
      <w:pPr>
        <w:pStyle w:val="FSFigureTitle"/>
        <w:rPr>
          <w:i w:val="0"/>
        </w:rPr>
      </w:pPr>
      <w:r w:rsidRPr="008D41ED">
        <w:rPr>
          <w:i w:val="0"/>
        </w:rPr>
        <w:t>Further details can be f</w:t>
      </w:r>
      <w:r w:rsidR="008D41ED" w:rsidRPr="008D41ED">
        <w:rPr>
          <w:i w:val="0"/>
        </w:rPr>
        <w:t xml:space="preserve">ound in </w:t>
      </w:r>
      <w:r w:rsidR="008D41ED" w:rsidRPr="008D41ED">
        <w:rPr>
          <w:i w:val="0"/>
        </w:rPr>
        <w:fldChar w:fldCharType="begin"/>
      </w:r>
      <w:r w:rsidR="008D41ED" w:rsidRPr="008D41ED">
        <w:rPr>
          <w:i w:val="0"/>
        </w:rPr>
        <w:instrText xml:space="preserve"> REF _Ref524595216 \h </w:instrText>
      </w:r>
      <w:r w:rsidR="008D41ED">
        <w:rPr>
          <w:i w:val="0"/>
        </w:rPr>
        <w:instrText xml:space="preserve"> \* MERGEFORMAT </w:instrText>
      </w:r>
      <w:r w:rsidR="008D41ED" w:rsidRPr="008D41ED">
        <w:rPr>
          <w:i w:val="0"/>
        </w:rPr>
      </w:r>
      <w:r w:rsidR="008D41ED" w:rsidRPr="008D41ED">
        <w:rPr>
          <w:i w:val="0"/>
        </w:rPr>
        <w:fldChar w:fldCharType="separate"/>
      </w:r>
      <w:r w:rsidR="004C731A" w:rsidRPr="004C731A">
        <w:rPr>
          <w:i w:val="0"/>
        </w:rPr>
        <w:t>Figure 4.3</w:t>
      </w:r>
      <w:r w:rsidR="008D41ED" w:rsidRPr="008D41ED">
        <w:rPr>
          <w:i w:val="0"/>
        </w:rPr>
        <w:fldChar w:fldCharType="end"/>
      </w:r>
      <w:r w:rsidR="008D41ED" w:rsidRPr="008D41ED">
        <w:rPr>
          <w:i w:val="0"/>
        </w:rPr>
        <w:t xml:space="preserve"> </w:t>
      </w:r>
      <w:r w:rsidRPr="008D41ED">
        <w:rPr>
          <w:i w:val="0"/>
        </w:rPr>
        <w:t xml:space="preserve">and </w:t>
      </w:r>
      <w:r w:rsidRPr="008D41ED">
        <w:rPr>
          <w:i w:val="0"/>
        </w:rPr>
        <w:fldChar w:fldCharType="begin"/>
      </w:r>
      <w:r w:rsidRPr="008D41ED">
        <w:rPr>
          <w:i w:val="0"/>
        </w:rPr>
        <w:instrText xml:space="preserve"> REF _Ref516069654 \h </w:instrText>
      </w:r>
      <w:r w:rsidR="00AD0A38" w:rsidRPr="008D41ED">
        <w:rPr>
          <w:i w:val="0"/>
        </w:rPr>
        <w:instrText xml:space="preserve"> \* MERGEFORMAT </w:instrText>
      </w:r>
      <w:r w:rsidRPr="008D41ED">
        <w:rPr>
          <w:i w:val="0"/>
        </w:rPr>
      </w:r>
      <w:r w:rsidRPr="008D41ED">
        <w:rPr>
          <w:i w:val="0"/>
        </w:rPr>
        <w:fldChar w:fldCharType="separate"/>
      </w:r>
      <w:r w:rsidR="004C731A" w:rsidRPr="00B748C3">
        <w:rPr>
          <w:i w:val="0"/>
        </w:rPr>
        <w:t>Table 4.</w:t>
      </w:r>
      <w:r w:rsidR="004C731A">
        <w:rPr>
          <w:i w:val="0"/>
        </w:rPr>
        <w:t>6</w:t>
      </w:r>
      <w:r w:rsidRPr="008D41ED">
        <w:rPr>
          <w:i w:val="0"/>
        </w:rPr>
        <w:fldChar w:fldCharType="end"/>
      </w:r>
      <w:r w:rsidRPr="008D41ED">
        <w:rPr>
          <w:i w:val="0"/>
        </w:rPr>
        <w:t>.</w:t>
      </w:r>
    </w:p>
    <w:p w14:paraId="0ACE529D" w14:textId="77777777" w:rsidR="00064C01" w:rsidRDefault="00064C01" w:rsidP="00064C01">
      <w:pPr>
        <w:pStyle w:val="Heading5"/>
        <w:keepLines/>
        <w:widowControl/>
        <w:spacing w:after="120"/>
        <w:ind w:left="0" w:firstLine="0"/>
      </w:pPr>
      <w:r>
        <w:t>4.4.3.2</w:t>
      </w:r>
      <w:r>
        <w:tab/>
        <w:t>Usual Use</w:t>
      </w:r>
      <w:r w:rsidRPr="00914AE9">
        <w:t xml:space="preserve"> scenarios</w:t>
      </w:r>
    </w:p>
    <w:p w14:paraId="2843F826" w14:textId="77777777" w:rsidR="00064C01" w:rsidRDefault="00064C01" w:rsidP="00064C01">
      <w:r w:rsidRPr="004B3A49">
        <w:t xml:space="preserve">For the </w:t>
      </w:r>
      <w:r>
        <w:t>Usual Use scenarios (</w:t>
      </w:r>
      <w:r w:rsidRPr="004B3A49">
        <w:rPr>
          <w:i/>
        </w:rPr>
        <w:t>Added rosemary extract only_</w:t>
      </w:r>
      <w:r>
        <w:rPr>
          <w:i/>
        </w:rPr>
        <w:t>Usual Use</w:t>
      </w:r>
      <w:r w:rsidRPr="004B3A49">
        <w:t xml:space="preserve"> and </w:t>
      </w:r>
      <w:r w:rsidRPr="004B3A49">
        <w:rPr>
          <w:i/>
        </w:rPr>
        <w:t>Naturally-occurring plus added rosemary extract_</w:t>
      </w:r>
      <w:r>
        <w:rPr>
          <w:i/>
        </w:rPr>
        <w:t>Usual Use</w:t>
      </w:r>
      <w:r>
        <w:t>)</w:t>
      </w:r>
      <w:r w:rsidRPr="004B3A49">
        <w:t xml:space="preserve">, the major contributing food groups to dietary exposures for New Zealanders aged 5-14 years are: </w:t>
      </w:r>
    </w:p>
    <w:p w14:paraId="52939C9A" w14:textId="77777777" w:rsidR="00064C01" w:rsidRDefault="00064C01" w:rsidP="00064C01">
      <w:pPr>
        <w:pStyle w:val="FSBullet1"/>
      </w:pPr>
      <w:r w:rsidRPr="004B3A49">
        <w:t>Sauces &amp; toppings (including mayonnaise and salad dressings)</w:t>
      </w:r>
      <w:r>
        <w:t xml:space="preserve"> (27%)</w:t>
      </w:r>
    </w:p>
    <w:p w14:paraId="03EB8EC6" w14:textId="29DA1C18" w:rsidR="00064C01" w:rsidRDefault="00064C01" w:rsidP="00064C01">
      <w:pPr>
        <w:pStyle w:val="FSBullet1"/>
      </w:pPr>
      <w:r w:rsidRPr="004B3A49">
        <w:t>Grain bars, breakfast bars, breakfast cereals</w:t>
      </w:r>
      <w:r w:rsidR="00AD0A38">
        <w:t xml:space="preserve"> (25</w:t>
      </w:r>
      <w:r>
        <w:t>%)</w:t>
      </w:r>
    </w:p>
    <w:p w14:paraId="7ED0F8B3" w14:textId="77777777" w:rsidR="00064C01" w:rsidRDefault="00064C01" w:rsidP="00064C01">
      <w:pPr>
        <w:pStyle w:val="FSBullet1"/>
      </w:pPr>
      <w:r w:rsidRPr="004B3A49">
        <w:t>Cookies, pancakes, waffles, sweet pastries (rolls, doughnuts, muffins) (18%)</w:t>
      </w:r>
      <w:r>
        <w:t>; and</w:t>
      </w:r>
    </w:p>
    <w:p w14:paraId="31E1E2C4" w14:textId="76EA2373" w:rsidR="00064C01" w:rsidRDefault="00064C01" w:rsidP="00064C01">
      <w:pPr>
        <w:pStyle w:val="FSBullet1"/>
        <w:spacing w:after="240"/>
        <w:ind w:left="499" w:hanging="357"/>
      </w:pPr>
      <w:r w:rsidRPr="004B3A49">
        <w:t>Margarines (solid &amp; liquid only), &lt;80% fat (1</w:t>
      </w:r>
      <w:r w:rsidR="00AD0A38">
        <w:t>4</w:t>
      </w:r>
      <w:r w:rsidRPr="004B3A49">
        <w:t>%).</w:t>
      </w:r>
    </w:p>
    <w:p w14:paraId="6CB29C69" w14:textId="425C59EB" w:rsidR="004C731A" w:rsidRPr="004C731A" w:rsidRDefault="004C731A" w:rsidP="004C731A">
      <w:r w:rsidRPr="004C731A">
        <w:t xml:space="preserve">Further details can be found in </w:t>
      </w:r>
      <w:r w:rsidRPr="004C731A">
        <w:fldChar w:fldCharType="begin"/>
      </w:r>
      <w:r w:rsidRPr="004C731A">
        <w:instrText xml:space="preserve"> REF _Ref524599201 \h  \* MERGEFORMAT </w:instrText>
      </w:r>
      <w:r w:rsidRPr="004C731A">
        <w:fldChar w:fldCharType="separate"/>
      </w:r>
      <w:r w:rsidRPr="004C731A">
        <w:t>Figure 4.</w:t>
      </w:r>
      <w:r w:rsidRPr="004C731A">
        <w:rPr>
          <w:noProof/>
        </w:rPr>
        <w:t>4</w:t>
      </w:r>
      <w:r w:rsidRPr="004C731A">
        <w:fldChar w:fldCharType="end"/>
      </w:r>
      <w:r w:rsidRPr="004C731A">
        <w:t xml:space="preserve"> and </w:t>
      </w:r>
      <w:r w:rsidRPr="004C731A">
        <w:fldChar w:fldCharType="begin"/>
      </w:r>
      <w:r w:rsidRPr="004C731A">
        <w:instrText xml:space="preserve"> REF _Ref524599202 \h  \* MERGEFORMAT </w:instrText>
      </w:r>
      <w:r w:rsidRPr="004C731A">
        <w:fldChar w:fldCharType="end"/>
      </w:r>
      <w:r w:rsidRPr="004C731A">
        <w:fldChar w:fldCharType="begin"/>
      </w:r>
      <w:r w:rsidRPr="004C731A">
        <w:instrText xml:space="preserve"> REF _Ref524599203 \h  \* MERGEFORMAT </w:instrText>
      </w:r>
      <w:r w:rsidRPr="004C731A">
        <w:fldChar w:fldCharType="separate"/>
      </w:r>
      <w:r w:rsidRPr="004C731A">
        <w:t>Table 4.</w:t>
      </w:r>
      <w:r w:rsidRPr="004C731A">
        <w:rPr>
          <w:noProof/>
        </w:rPr>
        <w:t>7</w:t>
      </w:r>
      <w:r w:rsidRPr="004C731A">
        <w:fldChar w:fldCharType="end"/>
      </w:r>
      <w:r w:rsidRPr="004C731A">
        <w:t>.</w:t>
      </w:r>
    </w:p>
    <w:p w14:paraId="41C536DF" w14:textId="77777777" w:rsidR="00064C01" w:rsidRDefault="00064C01" w:rsidP="00DF662D">
      <w:pPr>
        <w:pStyle w:val="Heading2"/>
      </w:pPr>
      <w:bookmarkStart w:id="235" w:name="_Toc516668849"/>
      <w:bookmarkStart w:id="236" w:name="_Toc517709901"/>
      <w:bookmarkStart w:id="237" w:name="_Toc518388301"/>
      <w:bookmarkStart w:id="238" w:name="_Toc526498390"/>
      <w:r>
        <w:t>4.5</w:t>
      </w:r>
      <w:r>
        <w:tab/>
        <w:t>Risk characterisation</w:t>
      </w:r>
      <w:bookmarkEnd w:id="235"/>
      <w:bookmarkEnd w:id="236"/>
      <w:bookmarkEnd w:id="237"/>
      <w:bookmarkEnd w:id="238"/>
    </w:p>
    <w:p w14:paraId="45D6CF4B" w14:textId="77777777" w:rsidR="00064C01" w:rsidRDefault="00064C01" w:rsidP="00064C01">
      <w:r>
        <w:t>T</w:t>
      </w:r>
      <w:r w:rsidRPr="006236C6">
        <w:t xml:space="preserve">here is a temporary ADI of 0–0.3 mg/kg body weight set by </w:t>
      </w:r>
      <w:r>
        <w:t>JECFA</w:t>
      </w:r>
      <w:r w:rsidRPr="006236C6">
        <w:t xml:space="preserve"> for rosemary extract, expressed as </w:t>
      </w:r>
      <w:r>
        <w:t xml:space="preserve">carnosic acid plus carnosol (FAO/WHO, 2016). Dietary exposures to carnosic acid plus carnosol were compared to the temporary ADI. As discussed in Section 4.3, dietary exposures have been estimated for </w:t>
      </w:r>
      <w:r w:rsidRPr="00933C8E">
        <w:t>‘consumers only’ (</w:t>
      </w:r>
      <w:r>
        <w:t xml:space="preserve">i.e. </w:t>
      </w:r>
      <w:r w:rsidRPr="00933C8E">
        <w:t xml:space="preserve">consumers of foods containing </w:t>
      </w:r>
      <w:r>
        <w:t>carnosic acid plus carnosol) and the proportion of consumers in each scenario-population group varies.</w:t>
      </w:r>
    </w:p>
    <w:p w14:paraId="74C030D3" w14:textId="31872068" w:rsidR="00064C01" w:rsidRPr="00EF75D8" w:rsidRDefault="00064C01" w:rsidP="005137FA">
      <w:pPr>
        <w:pStyle w:val="Heading3"/>
      </w:pPr>
      <w:bookmarkStart w:id="239" w:name="_Toc517709902"/>
      <w:bookmarkStart w:id="240" w:name="_Toc518388302"/>
      <w:bookmarkStart w:id="241" w:name="_Toc526498391"/>
      <w:r>
        <w:t>4.5.1</w:t>
      </w:r>
      <w:r>
        <w:tab/>
        <w:t>Australians aged 2</w:t>
      </w:r>
      <w:r w:rsidRPr="00EF75D8">
        <w:t> years and above</w:t>
      </w:r>
      <w:bookmarkEnd w:id="239"/>
      <w:bookmarkEnd w:id="240"/>
      <w:bookmarkEnd w:id="241"/>
    </w:p>
    <w:p w14:paraId="0C1E1394" w14:textId="52F8DBFE" w:rsidR="00064C01" w:rsidRDefault="00064C01" w:rsidP="00064C01">
      <w:pPr>
        <w:pStyle w:val="Heading5"/>
        <w:keepNext w:val="0"/>
        <w:widowControl/>
        <w:spacing w:after="120"/>
        <w:ind w:left="0" w:firstLine="0"/>
      </w:pPr>
      <w:r>
        <w:t>4.5.1.1</w:t>
      </w:r>
      <w:r>
        <w:tab/>
        <w:t>MPL scenarios</w:t>
      </w:r>
    </w:p>
    <w:p w14:paraId="2A809D08" w14:textId="477B6437" w:rsidR="00064C01" w:rsidRDefault="00064C01" w:rsidP="008D41ED">
      <w:r>
        <w:t xml:space="preserve">Consumer mean and P90 dietary exposures to carnosic acid plus carnosol for Australians aged 2 years and above increased from the Naturally-occurring scenario (15% ADI and 25% ADI, respectively) to 30% ADI and 60% ADI under the two MPL antioxidant use scenarios (Added rosemary extract only_MPL and Naturally-occurring plus added rosemary </w:t>
      </w:r>
      <w:r w:rsidRPr="008D41ED">
        <w:t>extract_MPL). See</w:t>
      </w:r>
      <w:r w:rsidR="008D41ED" w:rsidRPr="008D41ED">
        <w:t xml:space="preserve"> </w:t>
      </w:r>
      <w:r w:rsidR="008D41ED" w:rsidRPr="008D41ED">
        <w:fldChar w:fldCharType="begin"/>
      </w:r>
      <w:r w:rsidR="008D41ED" w:rsidRPr="008D41ED">
        <w:instrText xml:space="preserve"> REF _Ref524598520 \h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a</w:t>
      </w:r>
      <w:r w:rsidRPr="008D41ED">
        <w:t xml:space="preserve">nd </w:t>
      </w:r>
      <w:r w:rsidRPr="008D41ED">
        <w:fldChar w:fldCharType="begin"/>
      </w:r>
      <w:r w:rsidRPr="008D41ED">
        <w:instrText xml:space="preserve"> REF _Ref516668740 \h </w:instrText>
      </w:r>
      <w:r w:rsidR="000C19FF" w:rsidRPr="008D41ED">
        <w:instrText xml:space="preserve"> \* MERGEFORMAT </w:instrText>
      </w:r>
      <w:r w:rsidRPr="008D41ED">
        <w:fldChar w:fldCharType="separate"/>
      </w:r>
      <w:r w:rsidR="004C731A" w:rsidRPr="004C731A">
        <w:t>Table 4.8</w:t>
      </w:r>
      <w:r w:rsidRPr="008D41ED">
        <w:fldChar w:fldCharType="end"/>
      </w:r>
      <w:r w:rsidRPr="008D41ED">
        <w:t xml:space="preserve"> for further details.</w:t>
      </w:r>
    </w:p>
    <w:p w14:paraId="3D342E95" w14:textId="3E5187D0" w:rsidR="00064C01" w:rsidRDefault="00064C01" w:rsidP="00064C01">
      <w:pPr>
        <w:pStyle w:val="Heading5"/>
        <w:keepNext w:val="0"/>
        <w:widowControl/>
        <w:spacing w:after="120"/>
        <w:ind w:left="0" w:firstLine="0"/>
      </w:pPr>
      <w:r>
        <w:t>4.5.1.2</w:t>
      </w:r>
      <w:r>
        <w:tab/>
        <w:t>Usual Use scenarios</w:t>
      </w:r>
    </w:p>
    <w:p w14:paraId="16EB8361" w14:textId="7C3DD40F" w:rsidR="00064C01" w:rsidRDefault="00064C01" w:rsidP="008D41ED">
      <w:r w:rsidRPr="008D41ED">
        <w:t>Consumer mean and P90 dietary exposures to carnosic acid plus carnosol for Australians aged 2 years and above increased from the Naturally-occurring scenario (15% ADI and 25% ADI, respectively) to 15% ADI and 30% ADI under the two Usual Use antioxidant use scenarios (Added rosemary extract only_Usual Use</w:t>
      </w:r>
      <w:r>
        <w:t xml:space="preserve"> and Naturally-occurring plus added </w:t>
      </w:r>
      <w:r w:rsidRPr="008D41ED">
        <w:t>rosemary extract_Usual Use). See</w:t>
      </w:r>
      <w:r w:rsidR="008D41ED" w:rsidRPr="008D41ED">
        <w:t xml:space="preserve"> </w:t>
      </w:r>
      <w:r w:rsidR="008D41ED" w:rsidRPr="008D41ED">
        <w:fldChar w:fldCharType="begin"/>
      </w:r>
      <w:r w:rsidR="008D41ED" w:rsidRPr="008D41ED">
        <w:instrText xml:space="preserve"> REF _Ref524598520 \h </w:instrText>
      </w:r>
      <w:r w:rsidR="008D41ED">
        <w:instrText xml:space="preserve">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w:t>
      </w:r>
      <w:r w:rsidRPr="008D41ED">
        <w:t xml:space="preserve">and </w:t>
      </w:r>
      <w:r w:rsidRPr="008D41ED">
        <w:fldChar w:fldCharType="begin"/>
      </w:r>
      <w:r w:rsidRPr="008D41ED">
        <w:instrText xml:space="preserve"> REF _Ref516668740 \h </w:instrText>
      </w:r>
      <w:r w:rsidR="000C19FF" w:rsidRPr="008D41ED">
        <w:instrText xml:space="preserve"> \* MERGEFORMAT </w:instrText>
      </w:r>
      <w:r w:rsidRPr="008D41ED">
        <w:fldChar w:fldCharType="separate"/>
      </w:r>
      <w:r w:rsidR="004C731A" w:rsidRPr="004C731A">
        <w:t>Table 4.8</w:t>
      </w:r>
      <w:r w:rsidRPr="008D41ED">
        <w:fldChar w:fldCharType="end"/>
      </w:r>
      <w:r w:rsidRPr="008D41ED">
        <w:t xml:space="preserve"> for further details.</w:t>
      </w:r>
    </w:p>
    <w:p w14:paraId="5CDB589F" w14:textId="77777777" w:rsidR="00064C01" w:rsidRDefault="00064C01" w:rsidP="008D41ED"/>
    <w:p w14:paraId="65E3A693" w14:textId="049F97EF" w:rsidR="00064C01" w:rsidRPr="00B748C3" w:rsidRDefault="00064C01" w:rsidP="00B748C3">
      <w:pPr>
        <w:pStyle w:val="FSTableTitle"/>
        <w:keepNext/>
        <w:keepLines/>
        <w:spacing w:after="120"/>
        <w:rPr>
          <w:i/>
        </w:rPr>
      </w:pPr>
      <w:bookmarkStart w:id="242" w:name="_Ref516668740"/>
      <w:r w:rsidRPr="00B748C3">
        <w:rPr>
          <w:i/>
        </w:rPr>
        <w:lastRenderedPageBreak/>
        <w:t>Table</w:t>
      </w:r>
      <w:r w:rsidR="00052EDC" w:rsidRPr="00B748C3">
        <w:rPr>
          <w:i/>
        </w:rPr>
        <w:t xml:space="preserve"> 4.</w:t>
      </w:r>
      <w:r w:rsidR="00BD2527" w:rsidRPr="00B748C3">
        <w:rPr>
          <w:i/>
        </w:rPr>
        <w:fldChar w:fldCharType="begin"/>
      </w:r>
      <w:r w:rsidR="00BD2527" w:rsidRPr="00B748C3">
        <w:rPr>
          <w:i/>
        </w:rPr>
        <w:instrText xml:space="preserve"> SEQ Table \* ARABIC </w:instrText>
      </w:r>
      <w:r w:rsidR="00BD2527" w:rsidRPr="00B748C3">
        <w:rPr>
          <w:i/>
        </w:rPr>
        <w:fldChar w:fldCharType="separate"/>
      </w:r>
      <w:r w:rsidR="004C731A">
        <w:rPr>
          <w:i/>
          <w:noProof/>
        </w:rPr>
        <w:t>8</w:t>
      </w:r>
      <w:r w:rsidR="00BD2527" w:rsidRPr="00B748C3">
        <w:rPr>
          <w:i/>
          <w:noProof/>
        </w:rPr>
        <w:fldChar w:fldCharType="end"/>
      </w:r>
      <w:bookmarkEnd w:id="242"/>
      <w:r w:rsidRPr="00B748C3">
        <w:rPr>
          <w:i/>
        </w:rPr>
        <w:t>: Summary of estimated dietary exposures to carnosic acid plus carnosol from all scenarios assessed for Australians and New Zealanders, expressed as %ADI</w:t>
      </w:r>
    </w:p>
    <w:tbl>
      <w:tblPr>
        <w:tblStyle w:val="Table"/>
        <w:tblW w:w="9214" w:type="dxa"/>
        <w:tblLayout w:type="fixed"/>
        <w:tblLook w:val="04A0" w:firstRow="1" w:lastRow="0" w:firstColumn="1" w:lastColumn="0" w:noHBand="0" w:noVBand="1"/>
        <w:tblDescription w:val="Estimated mean and P90 dietary exposures to Carnosic acid plus Carnosol for Australian and New Zealand population groups for each scenario, expressed as a percentage of the Acceptable Daily Intake (ADI)."/>
      </w:tblPr>
      <w:tblGrid>
        <w:gridCol w:w="1560"/>
        <w:gridCol w:w="1417"/>
        <w:gridCol w:w="2558"/>
        <w:gridCol w:w="1128"/>
        <w:gridCol w:w="1276"/>
        <w:gridCol w:w="1275"/>
      </w:tblGrid>
      <w:tr w:rsidR="00064C01" w:rsidRPr="0015469A" w14:paraId="16AB164C" w14:textId="77777777" w:rsidTr="00E9707E">
        <w:trPr>
          <w:cnfStyle w:val="100000000000" w:firstRow="1" w:lastRow="0" w:firstColumn="0" w:lastColumn="0" w:oddVBand="0" w:evenVBand="0" w:oddHBand="0" w:evenHBand="0" w:firstRowFirstColumn="0" w:firstRowLastColumn="0" w:lastRowFirstColumn="0" w:lastRowLastColumn="0"/>
          <w:trHeight w:val="335"/>
        </w:trPr>
        <w:tc>
          <w:tcPr>
            <w:tcW w:w="1560" w:type="dxa"/>
          </w:tcPr>
          <w:p w14:paraId="697A34E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Country</w:t>
            </w:r>
          </w:p>
        </w:tc>
        <w:tc>
          <w:tcPr>
            <w:tcW w:w="1417" w:type="dxa"/>
          </w:tcPr>
          <w:p w14:paraId="104DA55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Age group</w:t>
            </w:r>
          </w:p>
        </w:tc>
        <w:tc>
          <w:tcPr>
            <w:tcW w:w="2558" w:type="dxa"/>
          </w:tcPr>
          <w:p w14:paraId="0DCDDA3F" w14:textId="77777777" w:rsidR="00064C01" w:rsidRPr="00165CC7" w:rsidRDefault="00064C01" w:rsidP="00064C01">
            <w:pPr>
              <w:keepNext/>
              <w:keepLines/>
              <w:spacing w:before="60" w:after="60"/>
              <w:contextualSpacing/>
              <w:rPr>
                <w:rFonts w:cs="Arial"/>
                <w:sz w:val="20"/>
                <w:szCs w:val="20"/>
              </w:rPr>
            </w:pPr>
            <w:r w:rsidRPr="00165CC7">
              <w:rPr>
                <w:rFonts w:cs="Arial"/>
                <w:sz w:val="20"/>
                <w:szCs w:val="20"/>
              </w:rPr>
              <w:t>Scenario</w:t>
            </w:r>
          </w:p>
        </w:tc>
        <w:tc>
          <w:tcPr>
            <w:tcW w:w="1128" w:type="dxa"/>
          </w:tcPr>
          <w:p w14:paraId="2D3A6739" w14:textId="77777777" w:rsidR="00064C01" w:rsidRPr="00165CC7" w:rsidRDefault="00064C01" w:rsidP="00E9707E">
            <w:pPr>
              <w:keepNext/>
              <w:keepLines/>
              <w:spacing w:before="60" w:after="60"/>
              <w:ind w:left="27" w:right="-110"/>
              <w:contextualSpacing/>
              <w:jc w:val="center"/>
              <w:rPr>
                <w:rFonts w:cs="Arial"/>
                <w:sz w:val="20"/>
                <w:szCs w:val="20"/>
              </w:rPr>
            </w:pPr>
            <w:r w:rsidRPr="00165CC7">
              <w:rPr>
                <w:rFonts w:cs="Arial"/>
                <w:sz w:val="20"/>
                <w:szCs w:val="20"/>
              </w:rPr>
              <w:t>% cons to resp.</w:t>
            </w:r>
            <w:r w:rsidRPr="00165CC7">
              <w:rPr>
                <w:rFonts w:cs="Arial"/>
                <w:sz w:val="20"/>
                <w:szCs w:val="20"/>
                <w:vertAlign w:val="superscript"/>
              </w:rPr>
              <w:t xml:space="preserve"> </w:t>
            </w:r>
            <w:r w:rsidRPr="00165CC7">
              <w:rPr>
                <w:rFonts w:cs="Arial"/>
                <w:sz w:val="20"/>
                <w:szCs w:val="20"/>
                <w:vertAlign w:val="superscript"/>
              </w:rPr>
              <w:sym w:font="Wingdings" w:char="F074"/>
            </w:r>
          </w:p>
        </w:tc>
        <w:tc>
          <w:tcPr>
            <w:tcW w:w="2551" w:type="dxa"/>
            <w:gridSpan w:val="2"/>
          </w:tcPr>
          <w:p w14:paraId="3496C25C" w14:textId="77777777" w:rsidR="00064C01" w:rsidRPr="00165CC7" w:rsidRDefault="00064C01" w:rsidP="00064C01">
            <w:pPr>
              <w:keepNext/>
              <w:keepLines/>
              <w:spacing w:before="60" w:after="60"/>
              <w:contextualSpacing/>
              <w:jc w:val="center"/>
              <w:rPr>
                <w:rFonts w:cs="Arial"/>
                <w:sz w:val="20"/>
                <w:szCs w:val="20"/>
              </w:rPr>
            </w:pPr>
            <w:r w:rsidRPr="00165CC7">
              <w:rPr>
                <w:rFonts w:cs="Arial"/>
                <w:sz w:val="20"/>
                <w:szCs w:val="20"/>
              </w:rPr>
              <w:t>Estimated consumer dietary exposure to carnosic acid plus carnosol (%ADI)</w:t>
            </w:r>
          </w:p>
        </w:tc>
      </w:tr>
      <w:tr w:rsidR="00064C01" w:rsidRPr="0015469A" w14:paraId="1BCF6F0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3C83110A" w14:textId="77777777" w:rsidR="00064C01" w:rsidRPr="0015469A" w:rsidRDefault="00064C01" w:rsidP="00064C01">
            <w:pPr>
              <w:keepNext/>
              <w:keepLines/>
              <w:spacing w:before="60" w:after="60"/>
              <w:contextualSpacing/>
              <w:rPr>
                <w:rFonts w:cs="Arial"/>
                <w:color w:val="auto"/>
                <w:sz w:val="20"/>
                <w:szCs w:val="20"/>
              </w:rPr>
            </w:pPr>
          </w:p>
        </w:tc>
        <w:tc>
          <w:tcPr>
            <w:tcW w:w="1417" w:type="dxa"/>
          </w:tcPr>
          <w:p w14:paraId="0B3185A7" w14:textId="77777777" w:rsidR="00064C01" w:rsidRPr="0015469A" w:rsidRDefault="00064C01" w:rsidP="00064C01">
            <w:pPr>
              <w:keepNext/>
              <w:keepLines/>
              <w:spacing w:before="60" w:after="60"/>
              <w:contextualSpacing/>
              <w:rPr>
                <w:rFonts w:cs="Arial"/>
                <w:color w:val="auto"/>
                <w:sz w:val="20"/>
                <w:szCs w:val="20"/>
              </w:rPr>
            </w:pPr>
          </w:p>
        </w:tc>
        <w:tc>
          <w:tcPr>
            <w:tcW w:w="2558" w:type="dxa"/>
          </w:tcPr>
          <w:p w14:paraId="05E1030E" w14:textId="77777777" w:rsidR="00064C01" w:rsidRPr="0015469A" w:rsidRDefault="00064C01" w:rsidP="00064C01">
            <w:pPr>
              <w:keepNext/>
              <w:keepLines/>
              <w:spacing w:before="60" w:after="60"/>
              <w:contextualSpacing/>
              <w:jc w:val="center"/>
              <w:rPr>
                <w:rFonts w:cs="Arial"/>
                <w:color w:val="auto"/>
                <w:sz w:val="20"/>
                <w:szCs w:val="20"/>
              </w:rPr>
            </w:pPr>
          </w:p>
        </w:tc>
        <w:tc>
          <w:tcPr>
            <w:tcW w:w="1128" w:type="dxa"/>
          </w:tcPr>
          <w:p w14:paraId="243EEA15" w14:textId="77777777" w:rsidR="00064C01" w:rsidRPr="0015469A" w:rsidRDefault="00064C01" w:rsidP="00064C01">
            <w:pPr>
              <w:keepNext/>
              <w:keepLines/>
              <w:spacing w:before="60" w:after="60"/>
              <w:contextualSpacing/>
              <w:jc w:val="center"/>
              <w:rPr>
                <w:rFonts w:cs="Arial"/>
                <w:color w:val="auto"/>
                <w:sz w:val="20"/>
                <w:szCs w:val="20"/>
              </w:rPr>
            </w:pPr>
          </w:p>
        </w:tc>
        <w:tc>
          <w:tcPr>
            <w:tcW w:w="1276" w:type="dxa"/>
          </w:tcPr>
          <w:p w14:paraId="1CA6F1BC" w14:textId="77777777" w:rsidR="00064C01" w:rsidRPr="00B75459" w:rsidRDefault="00064C01" w:rsidP="00064C01">
            <w:pPr>
              <w:keepNext/>
              <w:keepLines/>
              <w:spacing w:before="60" w:after="60"/>
              <w:contextualSpacing/>
              <w:jc w:val="center"/>
              <w:rPr>
                <w:rFonts w:cs="Arial"/>
                <w:b/>
                <w:color w:val="auto"/>
                <w:sz w:val="20"/>
                <w:szCs w:val="20"/>
              </w:rPr>
            </w:pPr>
            <w:r w:rsidRPr="00B75459">
              <w:rPr>
                <w:rFonts w:cs="Arial"/>
                <w:b/>
                <w:sz w:val="20"/>
                <w:szCs w:val="20"/>
              </w:rPr>
              <w:t>Mean</w:t>
            </w:r>
          </w:p>
        </w:tc>
        <w:tc>
          <w:tcPr>
            <w:tcW w:w="1275" w:type="dxa"/>
          </w:tcPr>
          <w:p w14:paraId="4B94856C" w14:textId="77777777" w:rsidR="00064C01" w:rsidRPr="00B75459" w:rsidRDefault="00064C01" w:rsidP="00064C01">
            <w:pPr>
              <w:keepNext/>
              <w:keepLines/>
              <w:spacing w:before="60" w:after="60"/>
              <w:contextualSpacing/>
              <w:jc w:val="center"/>
              <w:rPr>
                <w:rFonts w:cs="Arial"/>
                <w:b/>
                <w:color w:val="auto"/>
                <w:sz w:val="20"/>
                <w:szCs w:val="20"/>
              </w:rPr>
            </w:pPr>
            <w:r w:rsidRPr="00B75459">
              <w:rPr>
                <w:rFonts w:cs="Arial"/>
                <w:b/>
                <w:sz w:val="20"/>
                <w:szCs w:val="20"/>
              </w:rPr>
              <w:t>P90</w:t>
            </w:r>
          </w:p>
        </w:tc>
      </w:tr>
      <w:tr w:rsidR="00064C01" w:rsidRPr="0015469A" w14:paraId="5650B801"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7FE4385C"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Australia</w:t>
            </w:r>
          </w:p>
        </w:tc>
        <w:tc>
          <w:tcPr>
            <w:tcW w:w="1417" w:type="dxa"/>
          </w:tcPr>
          <w:p w14:paraId="71531E2D"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2 years and above</w:t>
            </w:r>
            <w:r w:rsidRPr="0015469A">
              <w:rPr>
                <w:rFonts w:cs="Arial"/>
                <w:color w:val="auto"/>
                <w:sz w:val="20"/>
                <w:szCs w:val="20"/>
                <w:vertAlign w:val="superscript"/>
              </w:rPr>
              <w:sym w:font="Wingdings" w:char="F076"/>
            </w:r>
          </w:p>
        </w:tc>
        <w:tc>
          <w:tcPr>
            <w:tcW w:w="2558" w:type="dxa"/>
          </w:tcPr>
          <w:p w14:paraId="1CB98ED3" w14:textId="77777777" w:rsidR="00064C01" w:rsidRPr="0015469A" w:rsidRDefault="00064C01" w:rsidP="00064C01">
            <w:pPr>
              <w:keepNext/>
              <w:keepLines/>
              <w:spacing w:before="60" w:after="60"/>
              <w:rPr>
                <w:rFonts w:cs="Arial"/>
                <w:i/>
                <w:color w:val="auto"/>
                <w:sz w:val="20"/>
                <w:szCs w:val="20"/>
              </w:rPr>
            </w:pPr>
            <w:r w:rsidRPr="0015469A">
              <w:rPr>
                <w:rFonts w:cs="Arial"/>
                <w:i/>
                <w:color w:val="auto"/>
                <w:sz w:val="20"/>
                <w:szCs w:val="20"/>
              </w:rPr>
              <w:t>Naturally-occurring</w:t>
            </w:r>
          </w:p>
        </w:tc>
        <w:tc>
          <w:tcPr>
            <w:tcW w:w="1128" w:type="dxa"/>
          </w:tcPr>
          <w:p w14:paraId="15A8EC7A"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5.8</w:t>
            </w:r>
          </w:p>
        </w:tc>
        <w:tc>
          <w:tcPr>
            <w:tcW w:w="1276" w:type="dxa"/>
          </w:tcPr>
          <w:p w14:paraId="0C84C42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15</w:t>
            </w:r>
          </w:p>
        </w:tc>
        <w:tc>
          <w:tcPr>
            <w:tcW w:w="1275" w:type="dxa"/>
          </w:tcPr>
          <w:p w14:paraId="5C662971"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r>
      <w:tr w:rsidR="00064C01" w:rsidRPr="0015469A" w14:paraId="5F7BFDBA"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71AFE40A" w14:textId="77777777" w:rsidR="00064C01" w:rsidRPr="0015469A" w:rsidRDefault="00064C01" w:rsidP="00064C01">
            <w:pPr>
              <w:keepNext/>
              <w:keepLines/>
              <w:spacing w:before="60" w:after="60"/>
              <w:rPr>
                <w:rFonts w:cs="Arial"/>
                <w:color w:val="auto"/>
                <w:sz w:val="20"/>
                <w:szCs w:val="20"/>
              </w:rPr>
            </w:pPr>
          </w:p>
        </w:tc>
        <w:tc>
          <w:tcPr>
            <w:tcW w:w="1417" w:type="dxa"/>
          </w:tcPr>
          <w:p w14:paraId="03CC4022" w14:textId="77777777" w:rsidR="00064C01" w:rsidRPr="0015469A" w:rsidRDefault="00064C01" w:rsidP="00064C01">
            <w:pPr>
              <w:keepNext/>
              <w:keepLines/>
              <w:spacing w:before="60" w:after="60"/>
              <w:rPr>
                <w:rFonts w:cs="Arial"/>
                <w:color w:val="auto"/>
                <w:sz w:val="20"/>
                <w:szCs w:val="20"/>
              </w:rPr>
            </w:pPr>
          </w:p>
        </w:tc>
        <w:tc>
          <w:tcPr>
            <w:tcW w:w="2558" w:type="dxa"/>
          </w:tcPr>
          <w:p w14:paraId="4DC50C6D"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1B7A94A8"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48A5A974" w14:textId="2B21FBE5" w:rsidR="00064C01" w:rsidRPr="0015469A" w:rsidRDefault="005142CF" w:rsidP="00064C01">
            <w:pPr>
              <w:keepNext/>
              <w:keepLines/>
              <w:tabs>
                <w:tab w:val="decimal" w:pos="1035"/>
              </w:tabs>
              <w:spacing w:before="60" w:after="60"/>
              <w:rPr>
                <w:rFonts w:cs="Arial"/>
                <w:color w:val="auto"/>
                <w:sz w:val="20"/>
                <w:szCs w:val="20"/>
              </w:rPr>
            </w:pPr>
            <w:r>
              <w:rPr>
                <w:rFonts w:cs="Arial"/>
                <w:color w:val="000000"/>
                <w:sz w:val="20"/>
                <w:szCs w:val="20"/>
              </w:rPr>
              <w:t>30</w:t>
            </w:r>
          </w:p>
        </w:tc>
        <w:tc>
          <w:tcPr>
            <w:tcW w:w="1275" w:type="dxa"/>
          </w:tcPr>
          <w:p w14:paraId="1662985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r>
      <w:tr w:rsidR="00064C01" w:rsidRPr="0015469A" w14:paraId="246D8F88"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32C1AF86" w14:textId="77777777" w:rsidR="00064C01" w:rsidRPr="0015469A" w:rsidRDefault="00064C01" w:rsidP="00064C01">
            <w:pPr>
              <w:keepNext/>
              <w:keepLines/>
              <w:spacing w:before="60" w:after="60"/>
              <w:rPr>
                <w:rFonts w:cs="Arial"/>
                <w:color w:val="auto"/>
                <w:sz w:val="20"/>
                <w:szCs w:val="20"/>
              </w:rPr>
            </w:pPr>
          </w:p>
        </w:tc>
        <w:tc>
          <w:tcPr>
            <w:tcW w:w="1417" w:type="dxa"/>
          </w:tcPr>
          <w:p w14:paraId="4B77712F" w14:textId="77777777" w:rsidR="00064C01" w:rsidRPr="0015469A" w:rsidRDefault="00064C01" w:rsidP="00064C01">
            <w:pPr>
              <w:keepNext/>
              <w:keepLines/>
              <w:spacing w:before="60" w:after="60"/>
              <w:rPr>
                <w:rFonts w:cs="Arial"/>
                <w:color w:val="auto"/>
                <w:sz w:val="20"/>
                <w:szCs w:val="20"/>
              </w:rPr>
            </w:pPr>
          </w:p>
        </w:tc>
        <w:tc>
          <w:tcPr>
            <w:tcW w:w="2558" w:type="dxa"/>
          </w:tcPr>
          <w:p w14:paraId="403DF92E"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248D4323"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5A555EF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30</w:t>
            </w:r>
          </w:p>
        </w:tc>
        <w:tc>
          <w:tcPr>
            <w:tcW w:w="1275" w:type="dxa"/>
          </w:tcPr>
          <w:p w14:paraId="182A28D7"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r>
      <w:tr w:rsidR="00064C01" w:rsidRPr="0015469A" w14:paraId="22EC97F3"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1A281C91" w14:textId="77777777" w:rsidR="00064C01" w:rsidRPr="0015469A" w:rsidRDefault="00064C01" w:rsidP="00064C01">
            <w:pPr>
              <w:keepNext/>
              <w:keepLines/>
              <w:spacing w:before="60" w:after="60"/>
              <w:rPr>
                <w:rFonts w:cs="Arial"/>
                <w:color w:val="auto"/>
                <w:sz w:val="20"/>
                <w:szCs w:val="20"/>
              </w:rPr>
            </w:pPr>
          </w:p>
        </w:tc>
        <w:tc>
          <w:tcPr>
            <w:tcW w:w="1417" w:type="dxa"/>
          </w:tcPr>
          <w:p w14:paraId="0FDC9715" w14:textId="77777777" w:rsidR="00064C01" w:rsidRPr="0015469A" w:rsidRDefault="00064C01" w:rsidP="00064C01">
            <w:pPr>
              <w:keepNext/>
              <w:keepLines/>
              <w:spacing w:before="60" w:after="60"/>
              <w:rPr>
                <w:rFonts w:cs="Arial"/>
                <w:color w:val="auto"/>
                <w:sz w:val="20"/>
                <w:szCs w:val="20"/>
              </w:rPr>
            </w:pPr>
          </w:p>
        </w:tc>
        <w:tc>
          <w:tcPr>
            <w:tcW w:w="2558" w:type="dxa"/>
          </w:tcPr>
          <w:p w14:paraId="1C9CC125"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128" w:type="dxa"/>
          </w:tcPr>
          <w:p w14:paraId="44AA6AFA"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58D6DE0C"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Pr>
          <w:p w14:paraId="46115B69"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r w:rsidR="00064C01" w:rsidRPr="0015469A" w14:paraId="01E25B5A"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698DFFB8" w14:textId="77777777" w:rsidR="00064C01" w:rsidRPr="0015469A" w:rsidRDefault="00064C01" w:rsidP="00064C01">
            <w:pPr>
              <w:keepNext/>
              <w:keepLines/>
              <w:spacing w:before="60" w:after="60"/>
              <w:rPr>
                <w:rFonts w:cs="Arial"/>
                <w:color w:val="auto"/>
                <w:sz w:val="20"/>
                <w:szCs w:val="20"/>
              </w:rPr>
            </w:pPr>
          </w:p>
        </w:tc>
        <w:tc>
          <w:tcPr>
            <w:tcW w:w="1417" w:type="dxa"/>
          </w:tcPr>
          <w:p w14:paraId="079829C3" w14:textId="77777777" w:rsidR="00064C01" w:rsidRPr="0015469A" w:rsidRDefault="00064C01" w:rsidP="00064C01">
            <w:pPr>
              <w:keepNext/>
              <w:keepLines/>
              <w:spacing w:before="60" w:after="60"/>
              <w:rPr>
                <w:rFonts w:cs="Arial"/>
                <w:color w:val="auto"/>
                <w:sz w:val="20"/>
                <w:szCs w:val="20"/>
              </w:rPr>
            </w:pPr>
          </w:p>
        </w:tc>
        <w:tc>
          <w:tcPr>
            <w:tcW w:w="2558" w:type="dxa"/>
          </w:tcPr>
          <w:p w14:paraId="7386D13D"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Pr>
          <w:p w14:paraId="1616023B"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100</w:t>
            </w:r>
          </w:p>
        </w:tc>
        <w:tc>
          <w:tcPr>
            <w:tcW w:w="1276" w:type="dxa"/>
          </w:tcPr>
          <w:p w14:paraId="656048A7"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Pr>
          <w:p w14:paraId="39D029D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r w:rsidR="00064C01" w:rsidRPr="0015469A" w14:paraId="509D887F"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63D7464A" w14:textId="77777777" w:rsidR="00064C01" w:rsidRPr="0015469A" w:rsidRDefault="00064C01" w:rsidP="00064C01">
            <w:pPr>
              <w:spacing w:before="60" w:after="60"/>
              <w:rPr>
                <w:rFonts w:cs="Arial"/>
                <w:color w:val="auto"/>
                <w:sz w:val="20"/>
                <w:szCs w:val="20"/>
              </w:rPr>
            </w:pPr>
            <w:r w:rsidRPr="0015469A">
              <w:rPr>
                <w:rFonts w:cs="Arial"/>
                <w:color w:val="auto"/>
                <w:sz w:val="20"/>
                <w:szCs w:val="20"/>
              </w:rPr>
              <w:t>New Zealand</w:t>
            </w:r>
          </w:p>
        </w:tc>
        <w:tc>
          <w:tcPr>
            <w:tcW w:w="1417" w:type="dxa"/>
          </w:tcPr>
          <w:p w14:paraId="54B0605F" w14:textId="77777777" w:rsidR="00064C01" w:rsidRPr="0015469A" w:rsidRDefault="00064C01" w:rsidP="00064C01">
            <w:pPr>
              <w:spacing w:before="60" w:after="60"/>
              <w:rPr>
                <w:rFonts w:cs="Arial"/>
                <w:color w:val="auto"/>
                <w:sz w:val="20"/>
                <w:szCs w:val="20"/>
              </w:rPr>
            </w:pPr>
            <w:r w:rsidRPr="0015469A">
              <w:rPr>
                <w:rFonts w:cs="Arial"/>
                <w:color w:val="auto"/>
                <w:sz w:val="20"/>
                <w:szCs w:val="20"/>
              </w:rPr>
              <w:t>5 – 14 years</w:t>
            </w:r>
            <w:r w:rsidRPr="0015469A">
              <w:rPr>
                <w:rFonts w:cs="Arial"/>
                <w:color w:val="auto"/>
                <w:sz w:val="20"/>
                <w:szCs w:val="20"/>
                <w:vertAlign w:val="superscript"/>
              </w:rPr>
              <w:sym w:font="Wingdings 3" w:char="F073"/>
            </w:r>
          </w:p>
        </w:tc>
        <w:tc>
          <w:tcPr>
            <w:tcW w:w="2558" w:type="dxa"/>
          </w:tcPr>
          <w:p w14:paraId="0D6E050A"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w:t>
            </w:r>
          </w:p>
        </w:tc>
        <w:tc>
          <w:tcPr>
            <w:tcW w:w="1128" w:type="dxa"/>
          </w:tcPr>
          <w:p w14:paraId="50C41305"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0.1</w:t>
            </w:r>
          </w:p>
        </w:tc>
        <w:tc>
          <w:tcPr>
            <w:tcW w:w="1276" w:type="dxa"/>
          </w:tcPr>
          <w:p w14:paraId="0D1A7E1C"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8</w:t>
            </w:r>
          </w:p>
        </w:tc>
        <w:tc>
          <w:tcPr>
            <w:tcW w:w="1275" w:type="dxa"/>
          </w:tcPr>
          <w:p w14:paraId="4C64C31A"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n/a</w:t>
            </w:r>
          </w:p>
        </w:tc>
      </w:tr>
      <w:tr w:rsidR="00064C01" w:rsidRPr="0015469A" w14:paraId="68C0286E"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468A57FD" w14:textId="77777777" w:rsidR="00064C01" w:rsidRPr="0015469A" w:rsidRDefault="00064C01" w:rsidP="00064C01">
            <w:pPr>
              <w:spacing w:before="60" w:after="60"/>
              <w:rPr>
                <w:rFonts w:cs="Arial"/>
                <w:color w:val="auto"/>
                <w:sz w:val="20"/>
                <w:szCs w:val="20"/>
              </w:rPr>
            </w:pPr>
          </w:p>
        </w:tc>
        <w:tc>
          <w:tcPr>
            <w:tcW w:w="1417" w:type="dxa"/>
          </w:tcPr>
          <w:p w14:paraId="445E554F" w14:textId="77777777" w:rsidR="00064C01" w:rsidRPr="0015469A" w:rsidRDefault="00064C01" w:rsidP="00064C01">
            <w:pPr>
              <w:spacing w:before="60" w:after="60"/>
              <w:rPr>
                <w:rFonts w:cs="Arial"/>
                <w:color w:val="auto"/>
                <w:sz w:val="20"/>
                <w:szCs w:val="20"/>
              </w:rPr>
            </w:pPr>
          </w:p>
        </w:tc>
        <w:tc>
          <w:tcPr>
            <w:tcW w:w="2558" w:type="dxa"/>
          </w:tcPr>
          <w:p w14:paraId="71FB8DB7"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5A789366"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5EBB9BE0" w14:textId="3B64FBC6" w:rsidR="00064C01" w:rsidRPr="0015469A" w:rsidRDefault="005142CF" w:rsidP="00064C01">
            <w:pPr>
              <w:tabs>
                <w:tab w:val="decimal" w:pos="1035"/>
              </w:tabs>
              <w:spacing w:before="60" w:after="60"/>
              <w:rPr>
                <w:rFonts w:cs="Arial"/>
                <w:color w:val="auto"/>
                <w:sz w:val="20"/>
                <w:szCs w:val="20"/>
              </w:rPr>
            </w:pPr>
            <w:r>
              <w:rPr>
                <w:rFonts w:cs="Arial"/>
                <w:color w:val="000000"/>
                <w:sz w:val="20"/>
                <w:szCs w:val="20"/>
              </w:rPr>
              <w:t>60</w:t>
            </w:r>
          </w:p>
        </w:tc>
        <w:tc>
          <w:tcPr>
            <w:tcW w:w="1275" w:type="dxa"/>
          </w:tcPr>
          <w:p w14:paraId="5E57C8D3"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110</w:t>
            </w:r>
          </w:p>
        </w:tc>
      </w:tr>
      <w:tr w:rsidR="00064C01" w:rsidRPr="0015469A" w14:paraId="3D3753AB"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2EDC05BD" w14:textId="77777777" w:rsidR="00064C01" w:rsidRPr="0015469A" w:rsidRDefault="00064C01" w:rsidP="00064C01">
            <w:pPr>
              <w:spacing w:before="60" w:after="60"/>
              <w:rPr>
                <w:rFonts w:cs="Arial"/>
                <w:color w:val="auto"/>
                <w:sz w:val="20"/>
                <w:szCs w:val="20"/>
              </w:rPr>
            </w:pPr>
          </w:p>
        </w:tc>
        <w:tc>
          <w:tcPr>
            <w:tcW w:w="1417" w:type="dxa"/>
          </w:tcPr>
          <w:p w14:paraId="49D4EE37" w14:textId="77777777" w:rsidR="00064C01" w:rsidRPr="0015469A" w:rsidRDefault="00064C01" w:rsidP="00064C01">
            <w:pPr>
              <w:spacing w:before="60" w:after="60"/>
              <w:rPr>
                <w:rFonts w:cs="Arial"/>
                <w:color w:val="auto"/>
                <w:sz w:val="20"/>
                <w:szCs w:val="20"/>
              </w:rPr>
            </w:pPr>
          </w:p>
        </w:tc>
        <w:tc>
          <w:tcPr>
            <w:tcW w:w="2558" w:type="dxa"/>
          </w:tcPr>
          <w:p w14:paraId="08C3838F"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4F9AB4AE"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7D1245BB" w14:textId="4E8213F7" w:rsidR="00064C01" w:rsidRPr="0015469A" w:rsidRDefault="005142CF" w:rsidP="00064C01">
            <w:pPr>
              <w:tabs>
                <w:tab w:val="decimal" w:pos="1035"/>
              </w:tabs>
              <w:spacing w:before="60" w:after="60"/>
              <w:rPr>
                <w:rFonts w:cs="Arial"/>
                <w:color w:val="auto"/>
                <w:sz w:val="20"/>
                <w:szCs w:val="20"/>
              </w:rPr>
            </w:pPr>
            <w:r>
              <w:rPr>
                <w:rFonts w:cs="Arial"/>
                <w:color w:val="000000"/>
                <w:sz w:val="20"/>
                <w:szCs w:val="20"/>
              </w:rPr>
              <w:t>60</w:t>
            </w:r>
          </w:p>
        </w:tc>
        <w:tc>
          <w:tcPr>
            <w:tcW w:w="1275" w:type="dxa"/>
          </w:tcPr>
          <w:p w14:paraId="410A24EC"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000000"/>
                <w:sz w:val="20"/>
                <w:szCs w:val="20"/>
              </w:rPr>
              <w:t>110</w:t>
            </w:r>
          </w:p>
        </w:tc>
      </w:tr>
      <w:tr w:rsidR="00064C01" w:rsidRPr="0015469A" w14:paraId="56FDFA6E"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0E918A1C" w14:textId="77777777" w:rsidR="00064C01" w:rsidRPr="0015469A" w:rsidRDefault="00064C01" w:rsidP="00064C01">
            <w:pPr>
              <w:spacing w:before="60" w:after="60"/>
              <w:rPr>
                <w:rFonts w:cs="Arial"/>
                <w:color w:val="auto"/>
                <w:sz w:val="20"/>
                <w:szCs w:val="20"/>
              </w:rPr>
            </w:pPr>
          </w:p>
        </w:tc>
        <w:tc>
          <w:tcPr>
            <w:tcW w:w="1417" w:type="dxa"/>
          </w:tcPr>
          <w:p w14:paraId="006C167D" w14:textId="77777777" w:rsidR="00064C01" w:rsidRPr="0015469A" w:rsidRDefault="00064C01" w:rsidP="00064C01">
            <w:pPr>
              <w:spacing w:before="60" w:after="60"/>
              <w:rPr>
                <w:rFonts w:cs="Arial"/>
                <w:color w:val="auto"/>
                <w:sz w:val="20"/>
                <w:szCs w:val="20"/>
              </w:rPr>
            </w:pPr>
          </w:p>
        </w:tc>
        <w:tc>
          <w:tcPr>
            <w:tcW w:w="2558" w:type="dxa"/>
          </w:tcPr>
          <w:p w14:paraId="4DA7635F"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Added rosemary extract only_Usual use</w:t>
            </w:r>
          </w:p>
        </w:tc>
        <w:tc>
          <w:tcPr>
            <w:tcW w:w="1128" w:type="dxa"/>
          </w:tcPr>
          <w:p w14:paraId="299C0290"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611B2574"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30</w:t>
            </w:r>
          </w:p>
        </w:tc>
        <w:tc>
          <w:tcPr>
            <w:tcW w:w="1275" w:type="dxa"/>
          </w:tcPr>
          <w:p w14:paraId="6978B67E" w14:textId="3C55A32F" w:rsidR="00064C01" w:rsidRPr="0015469A" w:rsidRDefault="005142CF" w:rsidP="005142CF">
            <w:pPr>
              <w:tabs>
                <w:tab w:val="decimal" w:pos="1035"/>
              </w:tabs>
              <w:spacing w:before="60" w:after="60"/>
              <w:rPr>
                <w:rFonts w:cs="Arial"/>
                <w:color w:val="auto"/>
                <w:sz w:val="20"/>
                <w:szCs w:val="20"/>
              </w:rPr>
            </w:pPr>
            <w:r>
              <w:rPr>
                <w:rFonts w:cs="Arial"/>
                <w:color w:val="auto"/>
                <w:sz w:val="20"/>
                <w:szCs w:val="20"/>
              </w:rPr>
              <w:t>60</w:t>
            </w:r>
          </w:p>
        </w:tc>
      </w:tr>
      <w:tr w:rsidR="00064C01" w:rsidRPr="0015469A" w14:paraId="333C56A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687D350F" w14:textId="77777777" w:rsidR="00064C01" w:rsidRPr="0015469A" w:rsidRDefault="00064C01" w:rsidP="00064C01">
            <w:pPr>
              <w:spacing w:before="60" w:after="60"/>
              <w:rPr>
                <w:rFonts w:cs="Arial"/>
                <w:color w:val="auto"/>
                <w:sz w:val="20"/>
                <w:szCs w:val="20"/>
              </w:rPr>
            </w:pPr>
          </w:p>
        </w:tc>
        <w:tc>
          <w:tcPr>
            <w:tcW w:w="1417" w:type="dxa"/>
          </w:tcPr>
          <w:p w14:paraId="26697E41" w14:textId="77777777" w:rsidR="00064C01" w:rsidRPr="0015469A" w:rsidRDefault="00064C01" w:rsidP="00064C01">
            <w:pPr>
              <w:spacing w:before="60" w:after="60"/>
              <w:rPr>
                <w:rFonts w:cs="Arial"/>
                <w:color w:val="auto"/>
                <w:sz w:val="20"/>
                <w:szCs w:val="20"/>
              </w:rPr>
            </w:pPr>
          </w:p>
        </w:tc>
        <w:tc>
          <w:tcPr>
            <w:tcW w:w="2558" w:type="dxa"/>
          </w:tcPr>
          <w:p w14:paraId="381D5C7B" w14:textId="77777777" w:rsidR="00064C01" w:rsidRPr="0015469A" w:rsidRDefault="00064C01" w:rsidP="00064C01">
            <w:pPr>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Pr>
          <w:p w14:paraId="59719E7E" w14:textId="77777777" w:rsidR="00064C01" w:rsidRPr="0015469A" w:rsidRDefault="00064C01" w:rsidP="00064C01">
            <w:pPr>
              <w:tabs>
                <w:tab w:val="decimal" w:pos="599"/>
              </w:tabs>
              <w:spacing w:before="60" w:after="60"/>
              <w:rPr>
                <w:rFonts w:cs="Arial"/>
                <w:color w:val="auto"/>
                <w:sz w:val="20"/>
                <w:szCs w:val="20"/>
              </w:rPr>
            </w:pPr>
            <w:r w:rsidRPr="0015469A">
              <w:rPr>
                <w:rFonts w:cs="Arial"/>
                <w:color w:val="auto"/>
                <w:sz w:val="20"/>
                <w:szCs w:val="20"/>
              </w:rPr>
              <w:t>99</w:t>
            </w:r>
          </w:p>
        </w:tc>
        <w:tc>
          <w:tcPr>
            <w:tcW w:w="1276" w:type="dxa"/>
          </w:tcPr>
          <w:p w14:paraId="76DA305F" w14:textId="77777777" w:rsidR="00064C01" w:rsidRPr="0015469A" w:rsidRDefault="00064C01" w:rsidP="00064C01">
            <w:pPr>
              <w:tabs>
                <w:tab w:val="decimal" w:pos="1035"/>
              </w:tabs>
              <w:spacing w:before="60" w:after="60"/>
              <w:rPr>
                <w:rFonts w:cs="Arial"/>
                <w:color w:val="auto"/>
                <w:sz w:val="20"/>
                <w:szCs w:val="20"/>
              </w:rPr>
            </w:pPr>
            <w:r w:rsidRPr="0015469A">
              <w:rPr>
                <w:rFonts w:cs="Arial"/>
                <w:color w:val="auto"/>
                <w:sz w:val="20"/>
                <w:szCs w:val="20"/>
              </w:rPr>
              <w:t>30</w:t>
            </w:r>
          </w:p>
        </w:tc>
        <w:tc>
          <w:tcPr>
            <w:tcW w:w="1275" w:type="dxa"/>
          </w:tcPr>
          <w:p w14:paraId="2B7E9C3B" w14:textId="07B534B4" w:rsidR="00064C01" w:rsidRPr="0015469A" w:rsidRDefault="005142CF" w:rsidP="00064C01">
            <w:pPr>
              <w:tabs>
                <w:tab w:val="decimal" w:pos="1035"/>
              </w:tabs>
              <w:spacing w:before="60" w:after="60"/>
              <w:rPr>
                <w:rFonts w:cs="Arial"/>
                <w:color w:val="auto"/>
                <w:sz w:val="20"/>
                <w:szCs w:val="20"/>
              </w:rPr>
            </w:pPr>
            <w:r>
              <w:rPr>
                <w:rFonts w:cs="Arial"/>
                <w:color w:val="auto"/>
                <w:sz w:val="20"/>
                <w:szCs w:val="20"/>
              </w:rPr>
              <w:t>60</w:t>
            </w:r>
          </w:p>
        </w:tc>
      </w:tr>
      <w:tr w:rsidR="00064C01" w:rsidRPr="0015469A" w14:paraId="3A48FCEA"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2CD6237C"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New Zealand</w:t>
            </w:r>
          </w:p>
        </w:tc>
        <w:tc>
          <w:tcPr>
            <w:tcW w:w="1417" w:type="dxa"/>
          </w:tcPr>
          <w:p w14:paraId="2E1C1075" w14:textId="77777777" w:rsidR="00064C01" w:rsidRPr="0015469A" w:rsidRDefault="00064C01" w:rsidP="00064C01">
            <w:pPr>
              <w:keepNext/>
              <w:keepLines/>
              <w:spacing w:before="60" w:after="60"/>
              <w:rPr>
                <w:rFonts w:cs="Arial"/>
                <w:color w:val="auto"/>
                <w:sz w:val="20"/>
                <w:szCs w:val="20"/>
              </w:rPr>
            </w:pPr>
            <w:r w:rsidRPr="0015469A">
              <w:rPr>
                <w:rFonts w:cs="Arial"/>
                <w:color w:val="auto"/>
                <w:sz w:val="20"/>
                <w:szCs w:val="20"/>
              </w:rPr>
              <w:t>15 years and above</w:t>
            </w:r>
            <w:r w:rsidRPr="0015469A">
              <w:rPr>
                <w:rFonts w:cs="Arial"/>
                <w:color w:val="auto"/>
                <w:sz w:val="20"/>
                <w:szCs w:val="20"/>
                <w:vertAlign w:val="superscript"/>
              </w:rPr>
              <w:sym w:font="Wingdings 3" w:char="F073"/>
            </w:r>
          </w:p>
        </w:tc>
        <w:tc>
          <w:tcPr>
            <w:tcW w:w="2558" w:type="dxa"/>
          </w:tcPr>
          <w:p w14:paraId="05B02C21"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w:t>
            </w:r>
          </w:p>
        </w:tc>
        <w:tc>
          <w:tcPr>
            <w:tcW w:w="1128" w:type="dxa"/>
          </w:tcPr>
          <w:p w14:paraId="52999660"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1.1</w:t>
            </w:r>
          </w:p>
        </w:tc>
        <w:tc>
          <w:tcPr>
            <w:tcW w:w="1276" w:type="dxa"/>
          </w:tcPr>
          <w:p w14:paraId="692AB70A"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60</w:t>
            </w:r>
          </w:p>
        </w:tc>
        <w:tc>
          <w:tcPr>
            <w:tcW w:w="1275" w:type="dxa"/>
          </w:tcPr>
          <w:p w14:paraId="26BCF67E"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100</w:t>
            </w:r>
          </w:p>
        </w:tc>
      </w:tr>
      <w:tr w:rsidR="00064C01" w:rsidRPr="0015469A" w14:paraId="57E5E4AE"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Pr>
          <w:p w14:paraId="1D1B7F3E" w14:textId="77777777" w:rsidR="00064C01" w:rsidRPr="0015469A" w:rsidRDefault="00064C01" w:rsidP="00064C01">
            <w:pPr>
              <w:keepNext/>
              <w:keepLines/>
              <w:spacing w:before="60" w:after="60"/>
              <w:rPr>
                <w:rFonts w:cs="Arial"/>
                <w:color w:val="auto"/>
                <w:sz w:val="20"/>
                <w:szCs w:val="20"/>
              </w:rPr>
            </w:pPr>
          </w:p>
        </w:tc>
        <w:tc>
          <w:tcPr>
            <w:tcW w:w="1417" w:type="dxa"/>
          </w:tcPr>
          <w:p w14:paraId="42ED2605" w14:textId="77777777" w:rsidR="00064C01" w:rsidRPr="0015469A" w:rsidRDefault="00064C01" w:rsidP="00064C01">
            <w:pPr>
              <w:keepNext/>
              <w:keepLines/>
              <w:spacing w:before="60" w:after="60"/>
              <w:rPr>
                <w:rFonts w:cs="Arial"/>
                <w:color w:val="auto"/>
                <w:sz w:val="20"/>
                <w:szCs w:val="20"/>
              </w:rPr>
            </w:pPr>
          </w:p>
        </w:tc>
        <w:tc>
          <w:tcPr>
            <w:tcW w:w="2558" w:type="dxa"/>
          </w:tcPr>
          <w:p w14:paraId="1ED86602"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only_MPL</w:t>
            </w:r>
          </w:p>
        </w:tc>
        <w:tc>
          <w:tcPr>
            <w:tcW w:w="1128" w:type="dxa"/>
          </w:tcPr>
          <w:p w14:paraId="6ECE2C8C"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Pr>
          <w:p w14:paraId="768FDE2F"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c>
          <w:tcPr>
            <w:tcW w:w="1275" w:type="dxa"/>
          </w:tcPr>
          <w:p w14:paraId="084B9D80"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50</w:t>
            </w:r>
          </w:p>
        </w:tc>
      </w:tr>
      <w:tr w:rsidR="00064C01" w:rsidRPr="0015469A" w14:paraId="57714643"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Pr>
          <w:p w14:paraId="2982D55B" w14:textId="77777777" w:rsidR="00064C01" w:rsidRPr="0015469A" w:rsidRDefault="00064C01" w:rsidP="00064C01">
            <w:pPr>
              <w:keepNext/>
              <w:keepLines/>
              <w:spacing w:before="60" w:after="60"/>
              <w:rPr>
                <w:rFonts w:cs="Arial"/>
                <w:color w:val="auto"/>
                <w:sz w:val="20"/>
                <w:szCs w:val="20"/>
              </w:rPr>
            </w:pPr>
          </w:p>
        </w:tc>
        <w:tc>
          <w:tcPr>
            <w:tcW w:w="1417" w:type="dxa"/>
          </w:tcPr>
          <w:p w14:paraId="1B3FDE5A" w14:textId="77777777" w:rsidR="00064C01" w:rsidRPr="0015469A" w:rsidRDefault="00064C01" w:rsidP="00064C01">
            <w:pPr>
              <w:keepNext/>
              <w:keepLines/>
              <w:spacing w:before="60" w:after="60"/>
              <w:rPr>
                <w:rFonts w:cs="Arial"/>
                <w:color w:val="auto"/>
                <w:sz w:val="20"/>
                <w:szCs w:val="20"/>
              </w:rPr>
            </w:pPr>
          </w:p>
        </w:tc>
        <w:tc>
          <w:tcPr>
            <w:tcW w:w="2558" w:type="dxa"/>
          </w:tcPr>
          <w:p w14:paraId="7C41D172"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extract_MPL</w:t>
            </w:r>
          </w:p>
        </w:tc>
        <w:tc>
          <w:tcPr>
            <w:tcW w:w="1128" w:type="dxa"/>
          </w:tcPr>
          <w:p w14:paraId="040D0FCF"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Pr>
          <w:p w14:paraId="04242263"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25</w:t>
            </w:r>
          </w:p>
        </w:tc>
        <w:tc>
          <w:tcPr>
            <w:tcW w:w="1275" w:type="dxa"/>
          </w:tcPr>
          <w:p w14:paraId="7947ED8D"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000000"/>
                <w:sz w:val="20"/>
                <w:szCs w:val="20"/>
              </w:rPr>
              <w:t>55</w:t>
            </w:r>
          </w:p>
        </w:tc>
      </w:tr>
      <w:tr w:rsidR="00064C01" w:rsidRPr="0015469A" w14:paraId="71831559" w14:textId="77777777" w:rsidTr="00E9707E">
        <w:trPr>
          <w:cnfStyle w:val="000000100000" w:firstRow="0" w:lastRow="0" w:firstColumn="0" w:lastColumn="0" w:oddVBand="0" w:evenVBand="0" w:oddHBand="1" w:evenHBand="0" w:firstRowFirstColumn="0" w:firstRowLastColumn="0" w:lastRowFirstColumn="0" w:lastRowLastColumn="0"/>
        </w:trPr>
        <w:tc>
          <w:tcPr>
            <w:tcW w:w="1560" w:type="dxa"/>
            <w:tcBorders>
              <w:bottom w:val="nil"/>
            </w:tcBorders>
          </w:tcPr>
          <w:p w14:paraId="2FA164EA" w14:textId="77777777" w:rsidR="00064C01" w:rsidRPr="0015469A" w:rsidRDefault="00064C01" w:rsidP="00064C01">
            <w:pPr>
              <w:keepNext/>
              <w:keepLines/>
              <w:spacing w:before="60" w:after="60"/>
              <w:rPr>
                <w:rFonts w:cs="Arial"/>
                <w:color w:val="auto"/>
                <w:sz w:val="20"/>
                <w:szCs w:val="20"/>
              </w:rPr>
            </w:pPr>
          </w:p>
        </w:tc>
        <w:tc>
          <w:tcPr>
            <w:tcW w:w="1417" w:type="dxa"/>
            <w:tcBorders>
              <w:bottom w:val="nil"/>
            </w:tcBorders>
          </w:tcPr>
          <w:p w14:paraId="5DA9200D" w14:textId="77777777" w:rsidR="00064C01" w:rsidRPr="0015469A" w:rsidRDefault="00064C01" w:rsidP="00064C01">
            <w:pPr>
              <w:keepNext/>
              <w:keepLines/>
              <w:spacing w:before="60" w:after="60"/>
              <w:rPr>
                <w:rFonts w:cs="Arial"/>
                <w:color w:val="auto"/>
                <w:sz w:val="20"/>
                <w:szCs w:val="20"/>
              </w:rPr>
            </w:pPr>
          </w:p>
        </w:tc>
        <w:tc>
          <w:tcPr>
            <w:tcW w:w="2558" w:type="dxa"/>
            <w:tcBorders>
              <w:bottom w:val="nil"/>
            </w:tcBorders>
          </w:tcPr>
          <w:p w14:paraId="3C3F71A8"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Added rosemary extract only_Usual use</w:t>
            </w:r>
          </w:p>
        </w:tc>
        <w:tc>
          <w:tcPr>
            <w:tcW w:w="1128" w:type="dxa"/>
            <w:tcBorders>
              <w:bottom w:val="nil"/>
            </w:tcBorders>
          </w:tcPr>
          <w:p w14:paraId="68F81930"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Borders>
              <w:bottom w:val="nil"/>
            </w:tcBorders>
          </w:tcPr>
          <w:p w14:paraId="10EB3A81"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Borders>
              <w:bottom w:val="nil"/>
            </w:tcBorders>
          </w:tcPr>
          <w:p w14:paraId="2B302834" w14:textId="603D93E6" w:rsidR="00064C01" w:rsidRPr="0015469A" w:rsidRDefault="005142CF" w:rsidP="00064C01">
            <w:pPr>
              <w:keepNext/>
              <w:keepLines/>
              <w:tabs>
                <w:tab w:val="decimal" w:pos="1035"/>
              </w:tabs>
              <w:spacing w:before="60" w:after="60"/>
              <w:rPr>
                <w:rFonts w:cs="Arial"/>
                <w:color w:val="auto"/>
                <w:sz w:val="20"/>
                <w:szCs w:val="20"/>
              </w:rPr>
            </w:pPr>
            <w:r>
              <w:rPr>
                <w:rFonts w:cs="Arial"/>
                <w:color w:val="auto"/>
                <w:sz w:val="20"/>
                <w:szCs w:val="20"/>
              </w:rPr>
              <w:t>30</w:t>
            </w:r>
          </w:p>
        </w:tc>
      </w:tr>
      <w:tr w:rsidR="00064C01" w:rsidRPr="0015469A" w14:paraId="114AF409" w14:textId="77777777" w:rsidTr="00E9707E">
        <w:trPr>
          <w:cnfStyle w:val="000000010000" w:firstRow="0" w:lastRow="0" w:firstColumn="0" w:lastColumn="0" w:oddVBand="0" w:evenVBand="0" w:oddHBand="0" w:evenHBand="1" w:firstRowFirstColumn="0" w:firstRowLastColumn="0" w:lastRowFirstColumn="0" w:lastRowLastColumn="0"/>
        </w:trPr>
        <w:tc>
          <w:tcPr>
            <w:tcW w:w="1560" w:type="dxa"/>
            <w:tcBorders>
              <w:bottom w:val="single" w:sz="4" w:space="0" w:color="auto"/>
            </w:tcBorders>
          </w:tcPr>
          <w:p w14:paraId="4CD6FBF4" w14:textId="77777777" w:rsidR="00064C01" w:rsidRPr="0015469A" w:rsidRDefault="00064C01" w:rsidP="00064C01">
            <w:pPr>
              <w:keepNext/>
              <w:keepLines/>
              <w:spacing w:before="60" w:after="60"/>
              <w:rPr>
                <w:rFonts w:cs="Arial"/>
                <w:color w:val="auto"/>
                <w:sz w:val="20"/>
                <w:szCs w:val="20"/>
              </w:rPr>
            </w:pPr>
          </w:p>
        </w:tc>
        <w:tc>
          <w:tcPr>
            <w:tcW w:w="1417" w:type="dxa"/>
            <w:tcBorders>
              <w:bottom w:val="single" w:sz="4" w:space="0" w:color="auto"/>
            </w:tcBorders>
          </w:tcPr>
          <w:p w14:paraId="6E8CACF5" w14:textId="77777777" w:rsidR="00064C01" w:rsidRPr="0015469A" w:rsidRDefault="00064C01" w:rsidP="00064C01">
            <w:pPr>
              <w:keepNext/>
              <w:keepLines/>
              <w:spacing w:before="60" w:after="60"/>
              <w:rPr>
                <w:rFonts w:cs="Arial"/>
                <w:color w:val="auto"/>
                <w:sz w:val="20"/>
                <w:szCs w:val="20"/>
              </w:rPr>
            </w:pPr>
          </w:p>
        </w:tc>
        <w:tc>
          <w:tcPr>
            <w:tcW w:w="2558" w:type="dxa"/>
            <w:tcBorders>
              <w:bottom w:val="single" w:sz="4" w:space="0" w:color="auto"/>
            </w:tcBorders>
          </w:tcPr>
          <w:p w14:paraId="25D433BC" w14:textId="77777777" w:rsidR="00064C01" w:rsidRPr="0015469A" w:rsidRDefault="00064C01" w:rsidP="00064C01">
            <w:pPr>
              <w:keepNext/>
              <w:keepLines/>
              <w:spacing w:before="60" w:after="60"/>
              <w:rPr>
                <w:rFonts w:cs="Arial"/>
                <w:color w:val="auto"/>
                <w:sz w:val="20"/>
                <w:szCs w:val="20"/>
              </w:rPr>
            </w:pPr>
            <w:r w:rsidRPr="0015469A">
              <w:rPr>
                <w:rFonts w:cs="Arial"/>
                <w:i/>
                <w:color w:val="auto"/>
                <w:sz w:val="20"/>
                <w:szCs w:val="20"/>
              </w:rPr>
              <w:t>Naturally-occurring plus added rosemary extract_Usual use</w:t>
            </w:r>
          </w:p>
        </w:tc>
        <w:tc>
          <w:tcPr>
            <w:tcW w:w="1128" w:type="dxa"/>
            <w:tcBorders>
              <w:bottom w:val="single" w:sz="4" w:space="0" w:color="auto"/>
            </w:tcBorders>
          </w:tcPr>
          <w:p w14:paraId="58D1692B" w14:textId="77777777" w:rsidR="00064C01" w:rsidRPr="0015469A" w:rsidRDefault="00064C01" w:rsidP="00064C01">
            <w:pPr>
              <w:keepNext/>
              <w:keepLines/>
              <w:tabs>
                <w:tab w:val="decimal" w:pos="599"/>
              </w:tabs>
              <w:spacing w:before="60" w:after="60"/>
              <w:rPr>
                <w:rFonts w:cs="Arial"/>
                <w:color w:val="auto"/>
                <w:sz w:val="20"/>
                <w:szCs w:val="20"/>
              </w:rPr>
            </w:pPr>
            <w:r w:rsidRPr="0015469A">
              <w:rPr>
                <w:rFonts w:cs="Arial"/>
                <w:color w:val="auto"/>
                <w:sz w:val="20"/>
                <w:szCs w:val="20"/>
              </w:rPr>
              <w:t>98</w:t>
            </w:r>
          </w:p>
        </w:tc>
        <w:tc>
          <w:tcPr>
            <w:tcW w:w="1276" w:type="dxa"/>
            <w:tcBorders>
              <w:bottom w:val="single" w:sz="4" w:space="0" w:color="auto"/>
            </w:tcBorders>
          </w:tcPr>
          <w:p w14:paraId="74BC8776"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15</w:t>
            </w:r>
          </w:p>
        </w:tc>
        <w:tc>
          <w:tcPr>
            <w:tcW w:w="1275" w:type="dxa"/>
            <w:tcBorders>
              <w:bottom w:val="single" w:sz="4" w:space="0" w:color="auto"/>
            </w:tcBorders>
          </w:tcPr>
          <w:p w14:paraId="7FA5A8D5" w14:textId="77777777" w:rsidR="00064C01" w:rsidRPr="0015469A" w:rsidRDefault="00064C01" w:rsidP="00064C01">
            <w:pPr>
              <w:keepNext/>
              <w:keepLines/>
              <w:tabs>
                <w:tab w:val="decimal" w:pos="1035"/>
              </w:tabs>
              <w:spacing w:before="60" w:after="60"/>
              <w:rPr>
                <w:rFonts w:cs="Arial"/>
                <w:color w:val="auto"/>
                <w:sz w:val="20"/>
                <w:szCs w:val="20"/>
              </w:rPr>
            </w:pPr>
            <w:r w:rsidRPr="0015469A">
              <w:rPr>
                <w:rFonts w:cs="Arial"/>
                <w:color w:val="auto"/>
                <w:sz w:val="20"/>
                <w:szCs w:val="20"/>
              </w:rPr>
              <w:t>30</w:t>
            </w:r>
          </w:p>
        </w:tc>
      </w:tr>
    </w:tbl>
    <w:p w14:paraId="0380AC1B" w14:textId="46C14E1F" w:rsidR="00064C01" w:rsidRPr="001F7442" w:rsidRDefault="00064C01" w:rsidP="00064C01">
      <w:pPr>
        <w:ind w:left="567" w:hanging="567"/>
        <w:rPr>
          <w:sz w:val="16"/>
          <w:szCs w:val="16"/>
        </w:rPr>
      </w:pPr>
      <w:r w:rsidRPr="001F7442">
        <w:rPr>
          <w:rFonts w:cs="Arial"/>
          <w:sz w:val="16"/>
          <w:szCs w:val="16"/>
        </w:rPr>
        <w:sym w:font="Wingdings" w:char="F074"/>
      </w:r>
      <w:r w:rsidRPr="001F7442">
        <w:rPr>
          <w:sz w:val="16"/>
          <w:szCs w:val="16"/>
        </w:rPr>
        <w:tab/>
      </w:r>
      <w:r w:rsidRPr="005575D5">
        <w:rPr>
          <w:sz w:val="16"/>
          <w:szCs w:val="16"/>
        </w:rPr>
        <w:t>Consumers as a % of total respondents</w:t>
      </w:r>
      <w:r>
        <w:rPr>
          <w:sz w:val="16"/>
          <w:szCs w:val="16"/>
        </w:rPr>
        <w:t xml:space="preserve">. A consumer is a </w:t>
      </w:r>
      <w:r w:rsidRPr="005575D5">
        <w:rPr>
          <w:sz w:val="16"/>
          <w:szCs w:val="16"/>
        </w:rPr>
        <w:t xml:space="preserve">respondent in the </w:t>
      </w:r>
      <w:r>
        <w:rPr>
          <w:sz w:val="16"/>
          <w:szCs w:val="16"/>
        </w:rPr>
        <w:t>national nutrition survey</w:t>
      </w:r>
      <w:r w:rsidRPr="005575D5">
        <w:rPr>
          <w:sz w:val="16"/>
          <w:szCs w:val="16"/>
        </w:rPr>
        <w:t xml:space="preserve"> who</w:t>
      </w:r>
      <w:r>
        <w:rPr>
          <w:sz w:val="16"/>
          <w:szCs w:val="16"/>
        </w:rPr>
        <w:t xml:space="preserve"> consumes a food containing carnosic acid plus carnosol. A respondent is anyone in a national nutrition survey, irrespective of whether they consume a food that contains carnosic acid plus carnosol or not</w:t>
      </w:r>
      <w:r w:rsidR="009B2DE0">
        <w:rPr>
          <w:sz w:val="16"/>
          <w:szCs w:val="16"/>
        </w:rPr>
        <w:t>.</w:t>
      </w:r>
    </w:p>
    <w:p w14:paraId="7A572913" w14:textId="35A9B249" w:rsidR="00064C01" w:rsidRPr="001F034B" w:rsidRDefault="00064C01" w:rsidP="00064C01">
      <w:pPr>
        <w:rPr>
          <w:sz w:val="16"/>
          <w:szCs w:val="16"/>
        </w:rPr>
      </w:pPr>
      <w:r w:rsidRPr="001F034B">
        <w:rPr>
          <w:sz w:val="16"/>
          <w:szCs w:val="16"/>
        </w:rPr>
        <w:sym w:font="Wingdings" w:char="F076"/>
      </w:r>
      <w:r w:rsidRPr="001F034B">
        <w:rPr>
          <w:sz w:val="16"/>
          <w:szCs w:val="16"/>
        </w:rPr>
        <w:tab/>
        <w:t xml:space="preserve">Based on </w:t>
      </w:r>
      <w:r>
        <w:rPr>
          <w:sz w:val="16"/>
          <w:szCs w:val="16"/>
        </w:rPr>
        <w:t>consumption data from Day 1 and 2</w:t>
      </w:r>
    </w:p>
    <w:p w14:paraId="7CCFB09D" w14:textId="7385A740" w:rsidR="00064C01" w:rsidRDefault="00064C01" w:rsidP="00064C01">
      <w:pPr>
        <w:rPr>
          <w:sz w:val="16"/>
          <w:szCs w:val="16"/>
        </w:rPr>
      </w:pPr>
      <w:r w:rsidRPr="001F034B">
        <w:rPr>
          <w:sz w:val="16"/>
          <w:szCs w:val="16"/>
        </w:rPr>
        <w:sym w:font="Wingdings 3" w:char="F073"/>
      </w:r>
      <w:r w:rsidRPr="001F034B">
        <w:rPr>
          <w:sz w:val="16"/>
          <w:szCs w:val="16"/>
        </w:rPr>
        <w:tab/>
        <w:t>Based on</w:t>
      </w:r>
      <w:r>
        <w:rPr>
          <w:sz w:val="16"/>
          <w:szCs w:val="16"/>
        </w:rPr>
        <w:t xml:space="preserve"> consumption data from</w:t>
      </w:r>
      <w:r w:rsidRPr="001F034B">
        <w:rPr>
          <w:sz w:val="16"/>
          <w:szCs w:val="16"/>
        </w:rPr>
        <w:t xml:space="preserve"> Day 1 respondents only</w:t>
      </w:r>
    </w:p>
    <w:p w14:paraId="696E3962" w14:textId="77777777" w:rsidR="0015469A" w:rsidRPr="00E009E2" w:rsidRDefault="0015469A" w:rsidP="00064C01">
      <w:pPr>
        <w:rPr>
          <w:highlight w:val="yellow"/>
        </w:rPr>
      </w:pPr>
    </w:p>
    <w:p w14:paraId="641BDB94" w14:textId="4FF3261B" w:rsidR="0097427E" w:rsidRPr="00EF75D8" w:rsidRDefault="0098446E" w:rsidP="005137FA">
      <w:pPr>
        <w:pStyle w:val="Heading3"/>
      </w:pPr>
      <w:bookmarkStart w:id="243" w:name="_Toc517709903"/>
      <w:bookmarkStart w:id="244" w:name="_Toc518388303"/>
      <w:bookmarkStart w:id="245" w:name="_Toc526498392"/>
      <w:bookmarkEnd w:id="233"/>
      <w:r>
        <w:lastRenderedPageBreak/>
        <w:t>4</w:t>
      </w:r>
      <w:r w:rsidR="00A553C0">
        <w:t>.5.</w:t>
      </w:r>
      <w:r w:rsidR="00A52FAA">
        <w:t>2</w:t>
      </w:r>
      <w:r w:rsidR="00A553C0">
        <w:tab/>
      </w:r>
      <w:r w:rsidR="0097427E">
        <w:t xml:space="preserve">New </w:t>
      </w:r>
      <w:r w:rsidR="0097427E" w:rsidRPr="0098446E">
        <w:t>Zealanders</w:t>
      </w:r>
      <w:r w:rsidR="0097427E">
        <w:t xml:space="preserve"> aged 15</w:t>
      </w:r>
      <w:r w:rsidR="0097427E" w:rsidRPr="00EF75D8">
        <w:t> years and above</w:t>
      </w:r>
      <w:bookmarkEnd w:id="234"/>
      <w:bookmarkEnd w:id="243"/>
      <w:bookmarkEnd w:id="244"/>
      <w:bookmarkEnd w:id="245"/>
    </w:p>
    <w:p w14:paraId="1BC3B793" w14:textId="430FF7AA" w:rsidR="0097427E" w:rsidRPr="00DC6457" w:rsidRDefault="0098446E" w:rsidP="0098446E">
      <w:pPr>
        <w:pStyle w:val="Heading5"/>
        <w:widowControl/>
        <w:spacing w:after="120"/>
        <w:ind w:left="0" w:firstLine="0"/>
      </w:pPr>
      <w:r>
        <w:t>4.5.</w:t>
      </w:r>
      <w:r w:rsidR="00A52FAA">
        <w:t>2</w:t>
      </w:r>
      <w:r>
        <w:t>.1</w:t>
      </w:r>
      <w:r>
        <w:tab/>
      </w:r>
      <w:r w:rsidR="0097427E" w:rsidRPr="00DC6457">
        <w:t>MPL scenarios</w:t>
      </w:r>
    </w:p>
    <w:p w14:paraId="76413B76" w14:textId="7763B3B1" w:rsidR="0097427E" w:rsidRDefault="0097427E" w:rsidP="008D41ED">
      <w:r w:rsidRPr="00706B04">
        <w:t xml:space="preserve">Consumer mean dietary exposures to </w:t>
      </w:r>
      <w:r w:rsidR="0048026B">
        <w:t>carnosic acid plus carnosol</w:t>
      </w:r>
      <w:r w:rsidRPr="00706B04">
        <w:t xml:space="preserve"> for New Zealanders aged 15 years and above decreased from the Naturally-occurring scenario (</w:t>
      </w:r>
      <w:r>
        <w:t>60</w:t>
      </w:r>
      <w:r w:rsidRPr="00706B04">
        <w:t>% ADI) to 25% ADI under the two</w:t>
      </w:r>
      <w:r>
        <w:t xml:space="preserve"> MPL</w:t>
      </w:r>
      <w:r w:rsidRPr="00706B04">
        <w:t xml:space="preserve"> antioxidant use scenarios; Added rosemary extract only</w:t>
      </w:r>
      <w:r>
        <w:t>_MPL</w:t>
      </w:r>
      <w:r w:rsidRPr="00706B04">
        <w:t xml:space="preserve"> and Naturally-</w:t>
      </w:r>
      <w:r w:rsidRPr="00212A5D">
        <w:t>occurring plus added rosemary extract</w:t>
      </w:r>
      <w:r>
        <w:t>_MPL</w:t>
      </w:r>
      <w:r w:rsidRPr="00212A5D">
        <w:t xml:space="preserve">. P90 dietary exposures decreased from </w:t>
      </w:r>
      <w:r>
        <w:t>100</w:t>
      </w:r>
      <w:r w:rsidRPr="00212A5D">
        <w:t xml:space="preserve">% ADI for the Naturally-occurring scenario, to 50-55% ADI under the two </w:t>
      </w:r>
      <w:r>
        <w:t xml:space="preserve">MPL </w:t>
      </w:r>
      <w:r w:rsidRPr="00212A5D">
        <w:t>antioxidant use scenarios</w:t>
      </w:r>
      <w:r>
        <w:t>.</w:t>
      </w:r>
      <w:r w:rsidR="0098446E">
        <w:t xml:space="preserve"> </w:t>
      </w:r>
      <w:r w:rsidR="00A36C2D">
        <w:t xml:space="preserve">As discussed in Section 4.3.2.2, this pattern is different to other population groups. This difference is likely due to only 1% of New Zealanders aged 15 years and above being exposed in the Naturally-occurring scenario and 98% being exposed in the MPL scenarios. </w:t>
      </w:r>
      <w:r w:rsidR="005B5EED" w:rsidRPr="00835598">
        <w:t>See</w:t>
      </w:r>
      <w:r w:rsidR="008D41ED" w:rsidRPr="008D41ED">
        <w:t xml:space="preserve"> </w:t>
      </w:r>
      <w:r w:rsidR="008D41ED" w:rsidRPr="008D41ED">
        <w:fldChar w:fldCharType="begin"/>
      </w:r>
      <w:r w:rsidR="008D41ED" w:rsidRPr="008D41ED">
        <w:instrText xml:space="preserve"> REF _Ref524598520 \h </w:instrText>
      </w:r>
      <w:r w:rsidR="008D41ED">
        <w:instrText xml:space="preserve">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w:t>
      </w:r>
      <w:r w:rsidR="005B5EED" w:rsidRPr="000C19FF">
        <w:t xml:space="preserve">and </w:t>
      </w:r>
      <w:r w:rsidR="005B5EED" w:rsidRPr="000C19FF">
        <w:fldChar w:fldCharType="begin"/>
      </w:r>
      <w:r w:rsidR="005B5EED" w:rsidRPr="000C19FF">
        <w:instrText xml:space="preserve"> REF _Ref516668740 \h </w:instrText>
      </w:r>
      <w:r w:rsidR="000C19FF" w:rsidRPr="000C19FF">
        <w:instrText xml:space="preserve"> \* MERGEFORMAT </w:instrText>
      </w:r>
      <w:r w:rsidR="005B5EED" w:rsidRPr="000C19FF">
        <w:fldChar w:fldCharType="separate"/>
      </w:r>
      <w:r w:rsidR="004C731A" w:rsidRPr="004C731A">
        <w:t>Table 4.8</w:t>
      </w:r>
      <w:r w:rsidR="005B5EED" w:rsidRPr="000C19FF">
        <w:fldChar w:fldCharType="end"/>
      </w:r>
      <w:r w:rsidR="005B5EED" w:rsidRPr="000C19FF">
        <w:t xml:space="preserve"> for further</w:t>
      </w:r>
      <w:r w:rsidR="005B5EED" w:rsidRPr="00835598">
        <w:t xml:space="preserve"> details.</w:t>
      </w:r>
    </w:p>
    <w:p w14:paraId="5281235F" w14:textId="4775D830" w:rsidR="0098446E" w:rsidRDefault="0098446E" w:rsidP="0098446E">
      <w:pPr>
        <w:pStyle w:val="Heading5"/>
        <w:widowControl/>
        <w:spacing w:after="120"/>
        <w:ind w:left="0" w:firstLine="0"/>
      </w:pPr>
      <w:r>
        <w:t>4.5.</w:t>
      </w:r>
      <w:r w:rsidR="00A52FAA">
        <w:t>2</w:t>
      </w:r>
      <w:r>
        <w:t>.2</w:t>
      </w:r>
      <w:r>
        <w:tab/>
      </w:r>
      <w:r w:rsidR="0097427E">
        <w:t>Usual Use scenarios</w:t>
      </w:r>
    </w:p>
    <w:p w14:paraId="5C253555" w14:textId="199B64E1" w:rsidR="0097427E" w:rsidRPr="00835598" w:rsidRDefault="0097427E" w:rsidP="008D41ED">
      <w:r w:rsidRPr="00DC6457">
        <w:t xml:space="preserve">Consumer mean dietary exposures to </w:t>
      </w:r>
      <w:r w:rsidR="0048026B">
        <w:t>carnosic acid plus carnosol</w:t>
      </w:r>
      <w:r w:rsidRPr="00DC6457">
        <w:t xml:space="preserve"> for New Zealanders aged 15 years and above decreased from the Naturally-occurring</w:t>
      </w:r>
      <w:r>
        <w:t xml:space="preserve"> scenario (60</w:t>
      </w:r>
      <w:r w:rsidRPr="00DC6457">
        <w:t xml:space="preserve">% ADI) to 15% ADI under the two Usual Use antioxidant use scenarios </w:t>
      </w:r>
      <w:r w:rsidRPr="00B5287F">
        <w:t>(</w:t>
      </w:r>
      <w:r w:rsidRPr="00DC6457">
        <w:t>Added rosemary extract only_Usual Use and Naturally-occurring plus added rosemary extract_Usual Use</w:t>
      </w:r>
      <w:r>
        <w:rPr>
          <w:b/>
        </w:rPr>
        <w:t>)</w:t>
      </w:r>
      <w:r w:rsidRPr="00DC6457">
        <w:t>. P90 dietary exposures decreased from 1</w:t>
      </w:r>
      <w:r>
        <w:t>0</w:t>
      </w:r>
      <w:r w:rsidRPr="00DC6457">
        <w:t>0% ADI for the Naturally-occurring scenario, to 30% ADI under the two Usual Use antioxidant use scenarios</w:t>
      </w:r>
      <w:r w:rsidRPr="00B5287F">
        <w:t>.</w:t>
      </w:r>
      <w:r w:rsidR="00CD28D4">
        <w:t xml:space="preserve"> </w:t>
      </w:r>
      <w:r w:rsidR="005B5EED" w:rsidRPr="00835598">
        <w:t>See</w:t>
      </w:r>
      <w:r w:rsidR="008D41ED" w:rsidRPr="008D41ED">
        <w:t xml:space="preserve"> </w:t>
      </w:r>
      <w:r w:rsidR="008D41ED" w:rsidRPr="008D41ED">
        <w:fldChar w:fldCharType="begin"/>
      </w:r>
      <w:r w:rsidR="008D41ED" w:rsidRPr="008D41ED">
        <w:instrText xml:space="preserve"> REF _Ref524598520 \h </w:instrText>
      </w:r>
      <w:r w:rsidR="008D41ED">
        <w:instrText xml:space="preserve">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w:t>
      </w:r>
      <w:r w:rsidR="005B5EED">
        <w:t>a</w:t>
      </w:r>
      <w:r w:rsidR="005B5EED" w:rsidRPr="00835598">
        <w:t>nd</w:t>
      </w:r>
      <w:r w:rsidR="005B5EED">
        <w:t xml:space="preserve"> </w:t>
      </w:r>
      <w:r w:rsidR="005B5EED" w:rsidRPr="000C19FF">
        <w:fldChar w:fldCharType="begin"/>
      </w:r>
      <w:r w:rsidR="005B5EED" w:rsidRPr="000C19FF">
        <w:instrText xml:space="preserve"> REF _Ref516668740 \h </w:instrText>
      </w:r>
      <w:r w:rsidR="000C19FF" w:rsidRPr="000C19FF">
        <w:instrText xml:space="preserve"> \* MERGEFORMAT </w:instrText>
      </w:r>
      <w:r w:rsidR="005B5EED" w:rsidRPr="000C19FF">
        <w:fldChar w:fldCharType="separate"/>
      </w:r>
      <w:r w:rsidR="004C731A" w:rsidRPr="004C731A">
        <w:t>Table 4.8</w:t>
      </w:r>
      <w:r w:rsidR="005B5EED" w:rsidRPr="000C19FF">
        <w:fldChar w:fldCharType="end"/>
      </w:r>
      <w:r w:rsidR="005B5EED" w:rsidRPr="000C19FF">
        <w:t xml:space="preserve"> </w:t>
      </w:r>
      <w:r w:rsidR="005B5EED" w:rsidRPr="00835598">
        <w:t>for further details.</w:t>
      </w:r>
    </w:p>
    <w:p w14:paraId="1A7BF159" w14:textId="77777777" w:rsidR="0097427E" w:rsidRDefault="0097427E" w:rsidP="0097427E"/>
    <w:p w14:paraId="14C17C2B" w14:textId="095ABC37" w:rsidR="00E65C77" w:rsidRPr="00940C5C" w:rsidRDefault="00E65C77" w:rsidP="0097427E">
      <w:pPr>
        <w:pStyle w:val="FSFigureTitle"/>
        <w:keepNext/>
        <w:keepLines/>
      </w:pPr>
      <w:bookmarkStart w:id="246" w:name="_Ref515875774"/>
      <w:bookmarkStart w:id="247" w:name="_Ref517120640"/>
      <w:bookmarkStart w:id="248" w:name="_Ref515900405"/>
      <w:r w:rsidRPr="00940C5C">
        <w:rPr>
          <w:noProof/>
          <w:lang w:eastAsia="en-GB" w:bidi="ar-SA"/>
        </w:rPr>
        <w:drawing>
          <wp:inline distT="0" distB="0" distL="0" distR="0" wp14:anchorId="77D1ED4D" wp14:editId="7F1CC8E3">
            <wp:extent cx="5760000" cy="3448800"/>
            <wp:effectExtent l="0" t="0" r="0" b="0"/>
            <wp:docPr id="14" name="Picture 14" descr="Estimated mean and P90 dietary exposures to Carnosic acid plus Carnosol for Australian and New Zealand population groups for the anti-oxidant use scenarios. Dietary exposures are at or below the ADI for all groups and scenarios except at the P90 for New Zealand children aged 5-14 years for the MPL antioxidant use scen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00" cy="3448800"/>
                    </a:xfrm>
                    <a:prstGeom prst="rect">
                      <a:avLst/>
                    </a:prstGeom>
                    <a:noFill/>
                  </pic:spPr>
                </pic:pic>
              </a:graphicData>
            </a:graphic>
          </wp:inline>
        </w:drawing>
      </w:r>
    </w:p>
    <w:p w14:paraId="41411BCD" w14:textId="1F373BA8" w:rsidR="0097427E" w:rsidRDefault="0097427E" w:rsidP="0097427E">
      <w:pPr>
        <w:pStyle w:val="FSFigureTitle"/>
        <w:keepNext/>
        <w:keepLines/>
      </w:pPr>
      <w:bookmarkStart w:id="249" w:name="_Ref524598520"/>
      <w:bookmarkStart w:id="250" w:name="_Ref524598514"/>
      <w:r w:rsidRPr="00940C5C">
        <w:t xml:space="preserve">Figure </w:t>
      </w:r>
      <w:r w:rsidR="007C6D1D" w:rsidRPr="00940C5C">
        <w:t>4.</w:t>
      </w:r>
      <w:r w:rsidR="00BD09F0">
        <w:fldChar w:fldCharType="begin"/>
      </w:r>
      <w:r w:rsidR="00BD09F0">
        <w:instrText xml:space="preserve"> SEQ Figure \* ARABIC </w:instrText>
      </w:r>
      <w:r w:rsidR="00BD09F0">
        <w:fldChar w:fldCharType="separate"/>
      </w:r>
      <w:r w:rsidR="004C731A" w:rsidRPr="00940C5C">
        <w:rPr>
          <w:noProof/>
        </w:rPr>
        <w:t>5</w:t>
      </w:r>
      <w:r w:rsidR="00BD09F0">
        <w:rPr>
          <w:noProof/>
        </w:rPr>
        <w:fldChar w:fldCharType="end"/>
      </w:r>
      <w:bookmarkEnd w:id="246"/>
      <w:bookmarkEnd w:id="247"/>
      <w:bookmarkEnd w:id="249"/>
      <w:r w:rsidRPr="00940C5C">
        <w:t xml:space="preserve">: Estimated consumer dietary exposures to </w:t>
      </w:r>
      <w:r w:rsidR="0048026B" w:rsidRPr="00940C5C">
        <w:t>carnosic acid plus carnosol</w:t>
      </w:r>
      <w:r w:rsidRPr="00940C5C">
        <w:t xml:space="preserve"> for Australian and New Zealand population groups</w:t>
      </w:r>
      <w:r w:rsidR="00CD1375" w:rsidRPr="00940C5C">
        <w:t xml:space="preserve"> for the antioxidant use scenarios</w:t>
      </w:r>
      <w:r w:rsidRPr="00940C5C">
        <w:t>, as %ADI</w:t>
      </w:r>
      <w:bookmarkEnd w:id="248"/>
      <w:r w:rsidRPr="00940C5C">
        <w:rPr>
          <w:rStyle w:val="FootnoteReference"/>
        </w:rPr>
        <w:footnoteReference w:id="7"/>
      </w:r>
      <w:bookmarkEnd w:id="250"/>
    </w:p>
    <w:p w14:paraId="344DDCE0" w14:textId="77777777" w:rsidR="00064C01" w:rsidRPr="00064C01" w:rsidRDefault="00064C01" w:rsidP="00064C01"/>
    <w:p w14:paraId="79D452D9" w14:textId="411BF3FA" w:rsidR="0097427E" w:rsidRPr="00EF75D8" w:rsidRDefault="00CA3F72" w:rsidP="005137FA">
      <w:pPr>
        <w:pStyle w:val="Heading3"/>
      </w:pPr>
      <w:bookmarkStart w:id="251" w:name="_Toc516668852"/>
      <w:bookmarkStart w:id="252" w:name="_Toc517709904"/>
      <w:bookmarkStart w:id="253" w:name="_Toc518388304"/>
      <w:bookmarkStart w:id="254" w:name="_Toc526498393"/>
      <w:r>
        <w:lastRenderedPageBreak/>
        <w:t>4.5.</w:t>
      </w:r>
      <w:r w:rsidR="00A52FAA">
        <w:t>3</w:t>
      </w:r>
      <w:r>
        <w:tab/>
      </w:r>
      <w:r w:rsidR="0097427E">
        <w:t xml:space="preserve">New </w:t>
      </w:r>
      <w:r w:rsidR="0097427E" w:rsidRPr="00CA3F72">
        <w:t>Zealanders</w:t>
      </w:r>
      <w:r w:rsidR="0097427E">
        <w:t xml:space="preserve"> aged 5-14 years</w:t>
      </w:r>
      <w:bookmarkEnd w:id="251"/>
      <w:bookmarkEnd w:id="252"/>
      <w:bookmarkEnd w:id="253"/>
      <w:bookmarkEnd w:id="254"/>
    </w:p>
    <w:p w14:paraId="617B44B1" w14:textId="16C2DD44" w:rsidR="0097427E" w:rsidRPr="008421F2" w:rsidRDefault="00CA3F72" w:rsidP="00CA3F72">
      <w:pPr>
        <w:pStyle w:val="Heading5"/>
        <w:widowControl/>
        <w:spacing w:after="120"/>
        <w:ind w:left="0" w:firstLine="0"/>
      </w:pPr>
      <w:r>
        <w:t>4.5.</w:t>
      </w:r>
      <w:r w:rsidR="00A52FAA">
        <w:t>3</w:t>
      </w:r>
      <w:r>
        <w:t>.1</w:t>
      </w:r>
      <w:r>
        <w:tab/>
      </w:r>
      <w:r w:rsidR="0097427E" w:rsidRPr="008421F2">
        <w:t>MPL scenarios</w:t>
      </w:r>
    </w:p>
    <w:p w14:paraId="60B9CEB6" w14:textId="78E13E5E" w:rsidR="00C04C1D" w:rsidRDefault="0097427E" w:rsidP="008D41ED">
      <w:r w:rsidRPr="008421F2">
        <w:t xml:space="preserve">Consumer mean dietary exposures to </w:t>
      </w:r>
      <w:r w:rsidR="0048026B">
        <w:t>carnosic acid plus carnosol</w:t>
      </w:r>
      <w:r w:rsidRPr="008421F2">
        <w:t xml:space="preserve"> for New Zealand children aged 5-14 years increased from the Naturally-occurring scenario (8% ADI) to </w:t>
      </w:r>
      <w:r w:rsidR="000C19FF">
        <w:t>60</w:t>
      </w:r>
      <w:r w:rsidRPr="008421F2">
        <w:t>% ADI under the two MPL antioxidant use scenarios (Added rosemary extract only_MPL and</w:t>
      </w:r>
      <w:r w:rsidRPr="00706B04">
        <w:t xml:space="preserve"> </w:t>
      </w:r>
      <w:r w:rsidRPr="007C6B73">
        <w:t xml:space="preserve">Naturally-occurring </w:t>
      </w:r>
      <w:r w:rsidRPr="00212A5D">
        <w:t>plus added rosemary extract</w:t>
      </w:r>
      <w:r>
        <w:t>_MPL)</w:t>
      </w:r>
      <w:r w:rsidRPr="00212A5D">
        <w:t xml:space="preserve">. </w:t>
      </w:r>
      <w:r>
        <w:t>There were insufficient consumers to be able to derive a P90 dietary exposure</w:t>
      </w:r>
      <w:r w:rsidRPr="00212A5D">
        <w:t xml:space="preserve"> </w:t>
      </w:r>
      <w:r>
        <w:t xml:space="preserve">for </w:t>
      </w:r>
      <w:r w:rsidRPr="00706B04">
        <w:t xml:space="preserve">the </w:t>
      </w:r>
      <w:r w:rsidRPr="007C6B73">
        <w:t>Naturally-occurring</w:t>
      </w:r>
      <w:r>
        <w:t xml:space="preserve"> scenario. P90 dietary exposures to </w:t>
      </w:r>
      <w:r w:rsidR="0048026B">
        <w:t>carnosic acid plus carnosol</w:t>
      </w:r>
      <w:r>
        <w:t xml:space="preserve"> are</w:t>
      </w:r>
      <w:r w:rsidRPr="00212A5D">
        <w:t xml:space="preserve"> 110% ADI for the Added rosemary extract only</w:t>
      </w:r>
      <w:r>
        <w:t>_MPL</w:t>
      </w:r>
      <w:r w:rsidRPr="00212A5D">
        <w:t xml:space="preserve"> and Naturally-occurring plus added rosemary extract</w:t>
      </w:r>
      <w:r>
        <w:t>_MPL</w:t>
      </w:r>
      <w:r w:rsidRPr="00212A5D">
        <w:t xml:space="preserve"> </w:t>
      </w:r>
      <w:r>
        <w:t>scenarios</w:t>
      </w:r>
      <w:r w:rsidR="00216A99">
        <w:t xml:space="preserve"> (s</w:t>
      </w:r>
      <w:r w:rsidR="00216A99" w:rsidRPr="00835598">
        <w:t>ee</w:t>
      </w:r>
      <w:r w:rsidR="008D41ED" w:rsidRPr="008D41ED">
        <w:t xml:space="preserve"> </w:t>
      </w:r>
      <w:r w:rsidR="008D41ED" w:rsidRPr="008D41ED">
        <w:fldChar w:fldCharType="begin"/>
      </w:r>
      <w:r w:rsidR="008D41ED" w:rsidRPr="008D41ED">
        <w:instrText xml:space="preserve"> REF _Ref524598520 \h </w:instrText>
      </w:r>
      <w:r w:rsidR="008D41ED">
        <w:instrText xml:space="preserve">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w:t>
      </w:r>
      <w:r w:rsidR="00216A99">
        <w:t>a</w:t>
      </w:r>
      <w:r w:rsidR="00216A99" w:rsidRPr="00835598">
        <w:t>nd</w:t>
      </w:r>
      <w:r w:rsidR="00216A99">
        <w:t xml:space="preserve"> </w:t>
      </w:r>
      <w:r w:rsidR="00216A99" w:rsidRPr="000C19FF">
        <w:fldChar w:fldCharType="begin"/>
      </w:r>
      <w:r w:rsidR="00216A99" w:rsidRPr="000C19FF">
        <w:instrText xml:space="preserve"> REF _Ref516668740 \h </w:instrText>
      </w:r>
      <w:r w:rsidR="000C19FF" w:rsidRPr="000C19FF">
        <w:instrText xml:space="preserve"> \* MERGEFORMAT </w:instrText>
      </w:r>
      <w:r w:rsidR="00216A99" w:rsidRPr="000C19FF">
        <w:fldChar w:fldCharType="separate"/>
      </w:r>
      <w:r w:rsidR="004C731A" w:rsidRPr="004C731A">
        <w:t>Table 4.8</w:t>
      </w:r>
      <w:r w:rsidR="00216A99" w:rsidRPr="000C19FF">
        <w:fldChar w:fldCharType="end"/>
      </w:r>
      <w:r w:rsidR="00216A99" w:rsidRPr="000C19FF">
        <w:t xml:space="preserve"> for further de</w:t>
      </w:r>
      <w:r w:rsidR="00216A99" w:rsidRPr="00835598">
        <w:t>tails</w:t>
      </w:r>
      <w:r w:rsidR="00216A99">
        <w:t>)</w:t>
      </w:r>
      <w:r w:rsidR="00216A99" w:rsidRPr="00835598">
        <w:t>.</w:t>
      </w:r>
    </w:p>
    <w:p w14:paraId="53024C1A" w14:textId="77777777" w:rsidR="00C04C1D" w:rsidRDefault="00C04C1D" w:rsidP="00A553C0"/>
    <w:p w14:paraId="7729582D" w14:textId="63E57318" w:rsidR="0047310C" w:rsidRDefault="0097427E" w:rsidP="00A553C0">
      <w:r>
        <w:t xml:space="preserve">These estimates are highly conservative and are not likely to occur in reality </w:t>
      </w:r>
      <w:r w:rsidR="00C04C1D">
        <w:t>for a number of reasons. Firstly,</w:t>
      </w:r>
      <w:r w:rsidDel="00C04C1D">
        <w:t xml:space="preserve"> </w:t>
      </w:r>
      <w:r>
        <w:t xml:space="preserve">it is assumed that all foods within a category contain rosemary extract at the </w:t>
      </w:r>
      <w:r w:rsidR="00FD1B06">
        <w:t xml:space="preserve">proposed </w:t>
      </w:r>
      <w:r>
        <w:t xml:space="preserve">MPL and that all of the foods within the food categories requested to contain rosemary extract will use rosemary extract. The Usual Use scenarios represent a more likely estimate of dietary exposures to </w:t>
      </w:r>
      <w:r w:rsidR="0048026B">
        <w:t>carnosic acid plus carnosol</w:t>
      </w:r>
      <w:r w:rsidR="00216A99">
        <w:t xml:space="preserve"> since the concentrations are what manufacturers are more likely to add to the requested food categories</w:t>
      </w:r>
      <w:r>
        <w:t>.</w:t>
      </w:r>
      <w:r w:rsidR="00C04C1D">
        <w:t xml:space="preserve"> Secondly, the exposures are </w:t>
      </w:r>
      <w:r w:rsidR="0047310C" w:rsidRPr="0047310C">
        <w:t xml:space="preserve">based on a single day of food consumption data. The distribution of food consumption amounts for one 24 hour period </w:t>
      </w:r>
      <w:r w:rsidR="00A04846">
        <w:t>tends to be</w:t>
      </w:r>
      <w:r w:rsidR="0047310C" w:rsidRPr="0047310C">
        <w:t xml:space="preserve"> much bro</w:t>
      </w:r>
      <w:r w:rsidR="0047310C">
        <w:t>ader than that averaged across two</w:t>
      </w:r>
      <w:r w:rsidR="0047310C" w:rsidRPr="0047310C">
        <w:t xml:space="preserve"> days given that all foods are not consumed on a daily basis. Therefore the</w:t>
      </w:r>
      <w:r w:rsidR="0047310C" w:rsidRPr="0047310C" w:rsidDel="00C04C1D">
        <w:t xml:space="preserve"> </w:t>
      </w:r>
      <w:r w:rsidR="0047310C" w:rsidRPr="0047310C">
        <w:t>dietary exposures when averaged across two days</w:t>
      </w:r>
      <w:r w:rsidR="00A04846">
        <w:t xml:space="preserve"> and can</w:t>
      </w:r>
      <w:r w:rsidR="0047310C" w:rsidRPr="0047310C">
        <w:t xml:space="preserve"> result in the tails of the exposure distribution coming in and a lower </w:t>
      </w:r>
      <w:r w:rsidR="0047310C">
        <w:t>P90</w:t>
      </w:r>
      <w:r w:rsidR="0047310C" w:rsidRPr="0047310C">
        <w:t xml:space="preserve"> exposure compared to one day of data only.</w:t>
      </w:r>
      <w:r w:rsidR="00A04846">
        <w:t xml:space="preserve"> The Australian </w:t>
      </w:r>
      <w:r w:rsidR="00C04C1D">
        <w:t xml:space="preserve">two day average exposures for the same age group </w:t>
      </w:r>
      <w:r w:rsidR="00ED7C38">
        <w:t>at the</w:t>
      </w:r>
      <w:r w:rsidR="00A04846">
        <w:t xml:space="preserve"> mean and P90 </w:t>
      </w:r>
      <w:r w:rsidR="00C04C1D">
        <w:t>were</w:t>
      </w:r>
      <w:r w:rsidR="00A04846">
        <w:t xml:space="preserve"> 45% ADI and 95% ADI, respectively.</w:t>
      </w:r>
      <w:r w:rsidR="003A2C60">
        <w:t xml:space="preserve"> </w:t>
      </w:r>
      <w:r w:rsidR="00C04C1D">
        <w:t xml:space="preserve">Thirdly, if the chronic dietary exposures were able to expressed </w:t>
      </w:r>
      <w:r w:rsidR="00ED7C38">
        <w:t xml:space="preserve">for New Zealand </w:t>
      </w:r>
      <w:r w:rsidR="00C04C1D">
        <w:t>across the relevant time period of the lifetime, including adulthood, the high percentile exposures would be lower</w:t>
      </w:r>
      <w:r w:rsidR="00CF756D">
        <w:t>.</w:t>
      </w:r>
    </w:p>
    <w:p w14:paraId="4AE2FCAF" w14:textId="367F5AF2" w:rsidR="0097427E" w:rsidRDefault="00CA3F72" w:rsidP="00CA3F72">
      <w:pPr>
        <w:pStyle w:val="Heading5"/>
        <w:widowControl/>
        <w:spacing w:after="120"/>
        <w:ind w:left="0" w:firstLine="0"/>
      </w:pPr>
      <w:r>
        <w:t>4.5.</w:t>
      </w:r>
      <w:r w:rsidR="00F73ADF">
        <w:t>3</w:t>
      </w:r>
      <w:r>
        <w:t>.2</w:t>
      </w:r>
      <w:r>
        <w:tab/>
      </w:r>
      <w:r w:rsidR="0097427E">
        <w:t>Usual Use scenarios</w:t>
      </w:r>
    </w:p>
    <w:p w14:paraId="2B2D829E" w14:textId="1CAD65F6" w:rsidR="0097427E" w:rsidRPr="00835598" w:rsidRDefault="0097427E" w:rsidP="008D41ED">
      <w:r w:rsidRPr="00706B04">
        <w:t xml:space="preserve">Consumer mean dietary exposures to </w:t>
      </w:r>
      <w:r w:rsidR="0048026B">
        <w:t>carnosic acid plus carnosol</w:t>
      </w:r>
      <w:r>
        <w:t xml:space="preserve"> for New Zealand</w:t>
      </w:r>
      <w:r w:rsidRPr="00706B04">
        <w:t xml:space="preserve"> children aged 5-14 years increased from the </w:t>
      </w:r>
      <w:r w:rsidRPr="007C6B73">
        <w:t>Naturally-occurring</w:t>
      </w:r>
      <w:r>
        <w:t xml:space="preserve"> scenario (8% ADI) to 30</w:t>
      </w:r>
      <w:r w:rsidRPr="00706B04">
        <w:t xml:space="preserve">% ADI under the two </w:t>
      </w:r>
      <w:r>
        <w:t xml:space="preserve">Usual Use </w:t>
      </w:r>
      <w:r w:rsidRPr="00706B04">
        <w:t xml:space="preserve">antioxidant use scenarios </w:t>
      </w:r>
      <w:r>
        <w:t>(</w:t>
      </w:r>
      <w:r w:rsidRPr="007C6B73">
        <w:t>Added rosemary extract only</w:t>
      </w:r>
      <w:r>
        <w:t>_Usual Use</w:t>
      </w:r>
      <w:r w:rsidRPr="00706B04">
        <w:t xml:space="preserve"> and </w:t>
      </w:r>
      <w:r w:rsidRPr="007C6B73">
        <w:t xml:space="preserve">Naturally-occurring </w:t>
      </w:r>
      <w:r w:rsidRPr="00212A5D">
        <w:t>plus added rosemary extract</w:t>
      </w:r>
      <w:r>
        <w:t>_Usual Use)</w:t>
      </w:r>
      <w:r w:rsidRPr="00212A5D">
        <w:t xml:space="preserve">. </w:t>
      </w:r>
      <w:r>
        <w:t>There were insufficient consumers to be able to derive a P90 dietary exposure</w:t>
      </w:r>
      <w:r w:rsidRPr="00212A5D">
        <w:t xml:space="preserve"> </w:t>
      </w:r>
      <w:r>
        <w:t xml:space="preserve">for </w:t>
      </w:r>
      <w:r w:rsidRPr="00706B04">
        <w:t xml:space="preserve">the </w:t>
      </w:r>
      <w:r w:rsidRPr="007C6B73">
        <w:t>Naturally-occurring</w:t>
      </w:r>
      <w:r>
        <w:t xml:space="preserve"> scenario. P90 dietary exposures to </w:t>
      </w:r>
      <w:r w:rsidR="0048026B">
        <w:t>carnosic acid plus carnosol</w:t>
      </w:r>
      <w:r>
        <w:t xml:space="preserve"> are</w:t>
      </w:r>
      <w:r w:rsidRPr="00212A5D">
        <w:t xml:space="preserve"> </w:t>
      </w:r>
      <w:r w:rsidR="000C19FF">
        <w:t>60</w:t>
      </w:r>
      <w:r w:rsidRPr="00212A5D">
        <w:t>% ADI for the Added rosemary extract only</w:t>
      </w:r>
      <w:r>
        <w:t>_Usual Use</w:t>
      </w:r>
      <w:r w:rsidRPr="00212A5D">
        <w:t xml:space="preserve"> and Naturally-occurring plus added rosemary extract</w:t>
      </w:r>
      <w:r>
        <w:t>_Usual Use</w:t>
      </w:r>
      <w:r w:rsidRPr="00212A5D">
        <w:t xml:space="preserve"> </w:t>
      </w:r>
      <w:r>
        <w:t>scenarios</w:t>
      </w:r>
      <w:r w:rsidRPr="00212A5D">
        <w:t>.</w:t>
      </w:r>
      <w:r w:rsidR="00CA3F72">
        <w:t xml:space="preserve"> </w:t>
      </w:r>
      <w:r w:rsidR="00A553C0" w:rsidRPr="00835598">
        <w:t>See</w:t>
      </w:r>
      <w:r w:rsidR="00A553C0">
        <w:t xml:space="preserve"> </w:t>
      </w:r>
      <w:r w:rsidR="008D41ED" w:rsidRPr="008D41ED">
        <w:t xml:space="preserve"> </w:t>
      </w:r>
      <w:r w:rsidR="008D41ED" w:rsidRPr="008D41ED">
        <w:fldChar w:fldCharType="begin"/>
      </w:r>
      <w:r w:rsidR="008D41ED" w:rsidRPr="008D41ED">
        <w:instrText xml:space="preserve"> REF _Ref524598520 \h </w:instrText>
      </w:r>
      <w:r w:rsidR="008D41ED">
        <w:instrText xml:space="preserve"> \* MERGEFORMAT </w:instrText>
      </w:r>
      <w:r w:rsidR="008D41ED" w:rsidRPr="008D41ED">
        <w:fldChar w:fldCharType="separate"/>
      </w:r>
      <w:r w:rsidR="004C731A" w:rsidRPr="008D41ED">
        <w:t>Figure 4.</w:t>
      </w:r>
      <w:r w:rsidR="004C731A">
        <w:t>5</w:t>
      </w:r>
      <w:r w:rsidR="008D41ED" w:rsidRPr="008D41ED">
        <w:fldChar w:fldCharType="end"/>
      </w:r>
      <w:r w:rsidR="008D41ED" w:rsidRPr="008D41ED">
        <w:t xml:space="preserve"> </w:t>
      </w:r>
      <w:r w:rsidR="00A553C0">
        <w:t>a</w:t>
      </w:r>
      <w:r w:rsidR="00A553C0" w:rsidRPr="00835598">
        <w:t>nd</w:t>
      </w:r>
      <w:r w:rsidR="00A553C0">
        <w:t xml:space="preserve"> </w:t>
      </w:r>
      <w:r w:rsidR="00A553C0" w:rsidRPr="000C19FF">
        <w:fldChar w:fldCharType="begin"/>
      </w:r>
      <w:r w:rsidR="00A553C0" w:rsidRPr="000C19FF">
        <w:instrText xml:space="preserve"> REF _Ref516668740 \h </w:instrText>
      </w:r>
      <w:r w:rsidR="000C19FF" w:rsidRPr="000C19FF">
        <w:instrText xml:space="preserve"> \* MERGEFORMAT </w:instrText>
      </w:r>
      <w:r w:rsidR="00A553C0" w:rsidRPr="000C19FF">
        <w:fldChar w:fldCharType="separate"/>
      </w:r>
      <w:r w:rsidR="004C731A" w:rsidRPr="004C731A">
        <w:t>Table 4.8</w:t>
      </w:r>
      <w:r w:rsidR="00A553C0" w:rsidRPr="000C19FF">
        <w:fldChar w:fldCharType="end"/>
      </w:r>
      <w:r w:rsidR="00A553C0" w:rsidRPr="000C19FF">
        <w:t xml:space="preserve"> </w:t>
      </w:r>
      <w:r w:rsidR="00A553C0" w:rsidRPr="00835598">
        <w:t>for further details.</w:t>
      </w:r>
    </w:p>
    <w:p w14:paraId="0BF8BDB8" w14:textId="77C41CB0" w:rsidR="0097427E" w:rsidRDefault="00CA3F72" w:rsidP="00DF662D">
      <w:pPr>
        <w:pStyle w:val="Heading2"/>
      </w:pPr>
      <w:bookmarkStart w:id="255" w:name="_Toc516668853"/>
      <w:bookmarkStart w:id="256" w:name="_Toc517709905"/>
      <w:bookmarkStart w:id="257" w:name="_Toc518388305"/>
      <w:bookmarkStart w:id="258" w:name="_Toc526498394"/>
      <w:r>
        <w:t>4.6</w:t>
      </w:r>
      <w:r>
        <w:tab/>
      </w:r>
      <w:r w:rsidR="0097427E" w:rsidRPr="00CA3F72">
        <w:t>Summary</w:t>
      </w:r>
      <w:r w:rsidR="0097427E">
        <w:t xml:space="preserve"> of results</w:t>
      </w:r>
      <w:bookmarkEnd w:id="255"/>
      <w:bookmarkEnd w:id="256"/>
      <w:bookmarkEnd w:id="257"/>
      <w:bookmarkEnd w:id="258"/>
    </w:p>
    <w:p w14:paraId="60930469" w14:textId="20BE6803" w:rsidR="0097427E" w:rsidRDefault="0097427E" w:rsidP="0097427E">
      <w:r w:rsidRPr="00EF43AF">
        <w:t xml:space="preserve">For all of the population groups assessed, New Zealanders aged 15 years and above had the highest mean and P90 </w:t>
      </w:r>
      <w:r w:rsidRPr="00EF43AF">
        <w:rPr>
          <w:i/>
        </w:rPr>
        <w:t>Naturally-occurring</w:t>
      </w:r>
      <w:r w:rsidRPr="00EF43AF">
        <w:t xml:space="preserve"> consumer dietary exposures to </w:t>
      </w:r>
      <w:r w:rsidR="0048026B">
        <w:t>carnosic acid plus carnosol</w:t>
      </w:r>
      <w:r w:rsidRPr="00EF43AF">
        <w:t xml:space="preserve"> on a body weight basis.</w:t>
      </w:r>
    </w:p>
    <w:p w14:paraId="70AF428B" w14:textId="77777777" w:rsidR="00B30D64" w:rsidRDefault="00B30D64" w:rsidP="0097427E"/>
    <w:p w14:paraId="031D1A0F" w14:textId="43DCF435" w:rsidR="0097427E" w:rsidRDefault="0097427E" w:rsidP="0097427E">
      <w:r w:rsidRPr="00EF43AF">
        <w:t>For all of the population groups assessed, New Zealand children aged 5-14 years had the highest mean and P90 antioxidant scenario dietary exposures on a body weight basis for both the Usual Use and the MPL scenarios</w:t>
      </w:r>
      <w:r>
        <w:t xml:space="preserve"> with and without the inclusion of rosemary leaves in the assessment</w:t>
      </w:r>
      <w:r w:rsidRPr="00EF43AF">
        <w:t>. Generally, children have higher dietary exposures as they have a higher consumption of food on a body weight basis and therefore are more likely to have higher dietary exposures to food chemicals.</w:t>
      </w:r>
    </w:p>
    <w:p w14:paraId="0E91664B" w14:textId="77777777" w:rsidR="00CA3F72" w:rsidRDefault="00CA3F72" w:rsidP="0097427E"/>
    <w:p w14:paraId="0E7D6E72" w14:textId="62DDEA26" w:rsidR="0097427E" w:rsidRDefault="0097427E" w:rsidP="0097427E">
      <w:r>
        <w:t xml:space="preserve">For the </w:t>
      </w:r>
      <w:r>
        <w:rPr>
          <w:i/>
        </w:rPr>
        <w:t xml:space="preserve">Naturally-occurring </w:t>
      </w:r>
      <w:r>
        <w:t xml:space="preserve">scenario where </w:t>
      </w:r>
      <w:r w:rsidRPr="00E65C77">
        <w:t xml:space="preserve">dietary exposures to </w:t>
      </w:r>
      <w:r w:rsidR="0048026B" w:rsidRPr="00E65C77">
        <w:t>carnosic acid plus carnosol</w:t>
      </w:r>
      <w:r w:rsidRPr="00E65C77">
        <w:t xml:space="preserve"> from rosemary leaves only were considered, mean dietary exposures were 8 – 60% ADI and P90 exposures were </w:t>
      </w:r>
      <w:r w:rsidR="00E65C77" w:rsidRPr="00E65C77">
        <w:t>25</w:t>
      </w:r>
      <w:r w:rsidRPr="00E65C77">
        <w:t xml:space="preserve"> – 100% ADI, depending on the</w:t>
      </w:r>
      <w:r>
        <w:t xml:space="preserve"> population group being assessed.</w:t>
      </w:r>
    </w:p>
    <w:p w14:paraId="4405BED2" w14:textId="34E3269F" w:rsidR="00B30D64" w:rsidRDefault="00B30D64" w:rsidP="00D73C4A"/>
    <w:p w14:paraId="6C8D6312" w14:textId="4B29452E" w:rsidR="0097427E" w:rsidRDefault="0097427E" w:rsidP="0097427E">
      <w:r>
        <w:t xml:space="preserve">For the MPL scenarios, mean </w:t>
      </w:r>
      <w:r w:rsidRPr="00E65C77">
        <w:t xml:space="preserve">dietary exposures to </w:t>
      </w:r>
      <w:r w:rsidR="0048026B" w:rsidRPr="00E65C77">
        <w:t>carnosic acid plus carnosol</w:t>
      </w:r>
      <w:r w:rsidR="00E65C77" w:rsidRPr="00E65C77">
        <w:t xml:space="preserve"> were 25 – 60</w:t>
      </w:r>
      <w:r w:rsidRPr="00E65C77">
        <w:t>% ADI and P90 exposures were 50 – 110% ADI,</w:t>
      </w:r>
      <w:r>
        <w:t xml:space="preserve"> depending on the population group being assessed. The dietary exposure estimates based on MPLs are highly conservative and are not likely to occur in reality </w:t>
      </w:r>
      <w:r w:rsidR="00CE32CC">
        <w:t xml:space="preserve">due to the following assumptions: </w:t>
      </w:r>
      <w:r>
        <w:t>all foods within a category contain rosemary extract at th</w:t>
      </w:r>
      <w:r w:rsidR="00F93E5A">
        <w:t>e MPL</w:t>
      </w:r>
      <w:r w:rsidR="00CE32CC">
        <w:t>;</w:t>
      </w:r>
      <w:r>
        <w:t xml:space="preserve"> all of the foods within the food categories requested to contain rosemary ex</w:t>
      </w:r>
      <w:r w:rsidR="00F93E5A">
        <w:t>tract will use rosemary extract</w:t>
      </w:r>
      <w:r w:rsidR="00CE32CC">
        <w:t>;</w:t>
      </w:r>
      <w:r w:rsidR="00F93E5A">
        <w:t xml:space="preserve"> </w:t>
      </w:r>
      <w:r>
        <w:t xml:space="preserve">and consumers always eat the products containing rosemary extracts at these concentrations over a lifetime. The Usual Use scenarios represent a more likely estimate of dietary exposures to </w:t>
      </w:r>
      <w:r w:rsidR="0048026B">
        <w:t>carnosic acid plus carnosol</w:t>
      </w:r>
      <w:r>
        <w:t>.</w:t>
      </w:r>
    </w:p>
    <w:p w14:paraId="1D07075C" w14:textId="77777777" w:rsidR="00CA3F72" w:rsidRDefault="00CA3F72" w:rsidP="0097427E"/>
    <w:p w14:paraId="66F450D0" w14:textId="6D980F92" w:rsidR="000B088B" w:rsidRDefault="000B088B" w:rsidP="000B088B">
      <w:r>
        <w:t>For the Usual Use scenarios</w:t>
      </w:r>
      <w:r w:rsidRPr="00E65C77">
        <w:t xml:space="preserve">, mean dietary exposures to carnosic acid plus carnosol were 15 – 30% ADI and P90 exposures were </w:t>
      </w:r>
      <w:r w:rsidR="00E65C77" w:rsidRPr="00E65C77">
        <w:t>30</w:t>
      </w:r>
      <w:r w:rsidRPr="00E65C77">
        <w:t xml:space="preserve"> – </w:t>
      </w:r>
      <w:r w:rsidR="00E65C77" w:rsidRPr="00E65C77">
        <w:t>60</w:t>
      </w:r>
      <w:r w:rsidRPr="00E65C77">
        <w:t>% ADI, depending on the population group being assessed.</w:t>
      </w:r>
    </w:p>
    <w:p w14:paraId="45CD1EC4" w14:textId="77777777" w:rsidR="000B088B" w:rsidRDefault="000B088B" w:rsidP="000B088B"/>
    <w:p w14:paraId="071E9E5B" w14:textId="6DBC35FF" w:rsidR="0097427E" w:rsidRDefault="0097427E" w:rsidP="0097427E">
      <w:r>
        <w:t xml:space="preserve">JECFA didn’t include rosemary leaves in conjunction with antioxidant uses in its assessment of dietary exposures to </w:t>
      </w:r>
      <w:r w:rsidR="0048026B">
        <w:t>carnosic acid plus carnosol</w:t>
      </w:r>
      <w:r>
        <w:t xml:space="preserve"> since dried rosemary wasn’t likely to significantly affect estimated dietary exposures to </w:t>
      </w:r>
      <w:r w:rsidR="0048026B">
        <w:t>carnosic acid plus carnosol</w:t>
      </w:r>
      <w:r>
        <w:t xml:space="preserve"> (WHO, 2017). The FSANZ assessment confirms the small contribution of rosemary leaves to </w:t>
      </w:r>
      <w:r w:rsidR="0048026B">
        <w:t>carnosic acid plus carnosol</w:t>
      </w:r>
      <w:r>
        <w:t xml:space="preserve"> dietary exposures since there is very little, if any, difference between %ADI for the </w:t>
      </w:r>
      <w:r>
        <w:rPr>
          <w:i/>
        </w:rPr>
        <w:t>Added rosemary extract only</w:t>
      </w:r>
      <w:r>
        <w:t xml:space="preserve"> and the </w:t>
      </w:r>
      <w:r>
        <w:rPr>
          <w:i/>
        </w:rPr>
        <w:t>Naturally-occurring plus added rosemary extract</w:t>
      </w:r>
      <w:r>
        <w:t xml:space="preserve"> scenarios for Australians aged 2 years and above and New Zealanders aged 15 years and above and aged 5-14 years. In the </w:t>
      </w:r>
      <w:r w:rsidRPr="007A2498">
        <w:rPr>
          <w:i/>
        </w:rPr>
        <w:t xml:space="preserve">Naturally-occurring plus added rosemary extract_Usual Use </w:t>
      </w:r>
      <w:r>
        <w:t>scenario, rosemary leaves contribute to &lt;1 – 4% of the dietary exposures.</w:t>
      </w:r>
      <w:r w:rsidRPr="007A2498">
        <w:t xml:space="preserve"> </w:t>
      </w:r>
      <w:r>
        <w:t xml:space="preserve">In the </w:t>
      </w:r>
      <w:r w:rsidRPr="007A2498">
        <w:rPr>
          <w:i/>
        </w:rPr>
        <w:t>Naturally-occurring plus added rosemary extract_</w:t>
      </w:r>
      <w:r>
        <w:rPr>
          <w:i/>
        </w:rPr>
        <w:t>MPL</w:t>
      </w:r>
      <w:r w:rsidRPr="007A2498">
        <w:rPr>
          <w:i/>
        </w:rPr>
        <w:t xml:space="preserve"> </w:t>
      </w:r>
      <w:r>
        <w:t>scenario, rosemary leaves contribute to &lt;1 – 2% of the dietary exposures.</w:t>
      </w:r>
    </w:p>
    <w:p w14:paraId="307B8132" w14:textId="56C1F3D5" w:rsidR="00887453" w:rsidRDefault="00887453" w:rsidP="00887453">
      <w:pPr>
        <w:pStyle w:val="Heading1"/>
      </w:pPr>
      <w:bookmarkStart w:id="259" w:name="_Toc516056533"/>
      <w:bookmarkStart w:id="260" w:name="_Toc517709906"/>
      <w:bookmarkStart w:id="261" w:name="_Toc518388306"/>
      <w:bookmarkStart w:id="262" w:name="_Toc526498395"/>
      <w:r>
        <w:t>5</w:t>
      </w:r>
      <w:r>
        <w:tab/>
        <w:t>Conclusion</w:t>
      </w:r>
      <w:bookmarkEnd w:id="259"/>
      <w:bookmarkEnd w:id="260"/>
      <w:bookmarkEnd w:id="261"/>
      <w:bookmarkEnd w:id="262"/>
    </w:p>
    <w:p w14:paraId="0D183B00" w14:textId="5A10DBC2" w:rsidR="00887453" w:rsidRDefault="00887453" w:rsidP="00887453">
      <w:pPr>
        <w:rPr>
          <w:lang w:bidi="ar-SA"/>
        </w:rPr>
      </w:pPr>
      <w:r>
        <w:rPr>
          <w:lang w:bidi="ar-SA"/>
        </w:rPr>
        <w:t xml:space="preserve">FSANZ has found no </w:t>
      </w:r>
      <w:r w:rsidR="00D507B5">
        <w:rPr>
          <w:lang w:bidi="ar-SA"/>
        </w:rPr>
        <w:t xml:space="preserve">new </w:t>
      </w:r>
      <w:r>
        <w:rPr>
          <w:lang w:bidi="ar-SA"/>
        </w:rPr>
        <w:t xml:space="preserve">evidence </w:t>
      </w:r>
      <w:r w:rsidR="00D507B5">
        <w:rPr>
          <w:lang w:bidi="ar-SA"/>
        </w:rPr>
        <w:t xml:space="preserve">around the characterisation of the </w:t>
      </w:r>
      <w:r>
        <w:rPr>
          <w:lang w:bidi="ar-SA"/>
        </w:rPr>
        <w:t xml:space="preserve">hazard to suggest that the ADI </w:t>
      </w:r>
      <w:r w:rsidR="00D507B5">
        <w:rPr>
          <w:lang w:bidi="ar-SA"/>
        </w:rPr>
        <w:t xml:space="preserve">for rosemary extract </w:t>
      </w:r>
      <w:r>
        <w:rPr>
          <w:lang w:bidi="ar-SA"/>
        </w:rPr>
        <w:t xml:space="preserve">should be lower than the temporary ADI established by JECFA (2017). </w:t>
      </w:r>
    </w:p>
    <w:p w14:paraId="759C2EB0" w14:textId="77777777" w:rsidR="00887453" w:rsidRDefault="00887453" w:rsidP="00887453">
      <w:pPr>
        <w:rPr>
          <w:lang w:bidi="ar-SA"/>
        </w:rPr>
      </w:pPr>
    </w:p>
    <w:p w14:paraId="03B7FEEB" w14:textId="2A8676F7" w:rsidR="00887453" w:rsidRDefault="00887453" w:rsidP="00887453">
      <w:pPr>
        <w:rPr>
          <w:lang w:bidi="ar-SA"/>
        </w:rPr>
      </w:pPr>
      <w:r w:rsidRPr="00E65C77">
        <w:rPr>
          <w:lang w:bidi="ar-SA"/>
        </w:rPr>
        <w:t xml:space="preserve">Dietary exposures to carnosic acid plus carnosol </w:t>
      </w:r>
      <w:r w:rsidR="008B6E07" w:rsidRPr="00E65C77">
        <w:rPr>
          <w:lang w:bidi="ar-SA"/>
        </w:rPr>
        <w:t xml:space="preserve">for consumers only </w:t>
      </w:r>
      <w:r w:rsidRPr="00E65C77">
        <w:rPr>
          <w:lang w:bidi="ar-SA"/>
        </w:rPr>
        <w:t xml:space="preserve">solely from use of rosemary leaves resulted in mean dietary exposures that were 8 – 60% of the temporary ADI and P90 exposures of </w:t>
      </w:r>
      <w:r w:rsidR="00E65C77" w:rsidRPr="00E65C77">
        <w:rPr>
          <w:lang w:bidi="ar-SA"/>
        </w:rPr>
        <w:t>25</w:t>
      </w:r>
      <w:r w:rsidR="00B30D64" w:rsidRPr="00E65C77">
        <w:rPr>
          <w:lang w:bidi="ar-SA"/>
        </w:rPr>
        <w:t> </w:t>
      </w:r>
      <w:r w:rsidRPr="00E65C77">
        <w:rPr>
          <w:lang w:bidi="ar-SA"/>
        </w:rPr>
        <w:t xml:space="preserve">– 100% of the ADI, depending on the population group being assessed. Usual Use scenarios resulted in mean dietary exposures to carnosic acid plus carnosol </w:t>
      </w:r>
      <w:r w:rsidR="00B30D64" w:rsidRPr="00E65C77">
        <w:rPr>
          <w:lang w:bidi="ar-SA"/>
        </w:rPr>
        <w:t>of</w:t>
      </w:r>
      <w:r w:rsidRPr="00E65C77">
        <w:rPr>
          <w:lang w:bidi="ar-SA"/>
        </w:rPr>
        <w:t xml:space="preserve"> 15-30% of the temporary ADI and P90 exposures of </w:t>
      </w:r>
      <w:r w:rsidR="00E65C77" w:rsidRPr="00E65C77">
        <w:rPr>
          <w:lang w:bidi="ar-SA"/>
        </w:rPr>
        <w:t>30</w:t>
      </w:r>
      <w:r w:rsidRPr="00E65C77">
        <w:rPr>
          <w:lang w:bidi="ar-SA"/>
        </w:rPr>
        <w:t xml:space="preserve"> – </w:t>
      </w:r>
      <w:r w:rsidR="00E65C77" w:rsidRPr="00E65C77">
        <w:rPr>
          <w:lang w:bidi="ar-SA"/>
        </w:rPr>
        <w:t>60</w:t>
      </w:r>
      <w:r w:rsidRPr="00E65C77">
        <w:rPr>
          <w:lang w:bidi="ar-SA"/>
        </w:rPr>
        <w:t>% of the ADI, depending on the population group being assessed.</w:t>
      </w:r>
    </w:p>
    <w:p w14:paraId="44BB1CEA" w14:textId="77777777" w:rsidR="00887453" w:rsidRDefault="00887453" w:rsidP="00887453">
      <w:pPr>
        <w:rPr>
          <w:lang w:bidi="ar-SA"/>
        </w:rPr>
      </w:pPr>
    </w:p>
    <w:p w14:paraId="595128E7" w14:textId="0BC3DF4B" w:rsidR="00887453" w:rsidRDefault="008B6E07" w:rsidP="00887453">
      <w:pPr>
        <w:rPr>
          <w:lang w:bidi="ar-SA"/>
        </w:rPr>
      </w:pPr>
      <w:r>
        <w:rPr>
          <w:lang w:bidi="ar-SA"/>
        </w:rPr>
        <w:t>A d</w:t>
      </w:r>
      <w:r w:rsidR="00887453">
        <w:rPr>
          <w:lang w:bidi="ar-SA"/>
        </w:rPr>
        <w:t xml:space="preserve">ietary </w:t>
      </w:r>
      <w:r w:rsidR="00887453" w:rsidRPr="00E65C77">
        <w:rPr>
          <w:lang w:bidi="ar-SA"/>
        </w:rPr>
        <w:t xml:space="preserve">exposure assessment was also carried out using </w:t>
      </w:r>
      <w:r w:rsidR="00FE177F" w:rsidRPr="00E65C77">
        <w:rPr>
          <w:lang w:bidi="ar-SA"/>
        </w:rPr>
        <w:t xml:space="preserve">requested </w:t>
      </w:r>
      <w:r w:rsidR="00887453" w:rsidRPr="00E65C77">
        <w:rPr>
          <w:lang w:bidi="ar-SA"/>
        </w:rPr>
        <w:t>MPL</w:t>
      </w:r>
      <w:r w:rsidR="00FE177F" w:rsidRPr="00E65C77">
        <w:rPr>
          <w:lang w:bidi="ar-SA"/>
        </w:rPr>
        <w:t>s</w:t>
      </w:r>
      <w:r w:rsidR="00887453" w:rsidRPr="00E65C77">
        <w:rPr>
          <w:lang w:bidi="ar-SA"/>
        </w:rPr>
        <w:t xml:space="preserve">. For the MPL scenarios, mean dietary exposures to </w:t>
      </w:r>
      <w:r w:rsidR="0048026B" w:rsidRPr="00E65C77">
        <w:rPr>
          <w:lang w:bidi="ar-SA"/>
        </w:rPr>
        <w:t>carnosic acid plus carnosol</w:t>
      </w:r>
      <w:r w:rsidRPr="00E65C77">
        <w:rPr>
          <w:lang w:bidi="ar-SA"/>
        </w:rPr>
        <w:t xml:space="preserve"> for consumers only</w:t>
      </w:r>
      <w:r w:rsidR="00887453" w:rsidRPr="00E65C77">
        <w:rPr>
          <w:lang w:bidi="ar-SA"/>
        </w:rPr>
        <w:t xml:space="preserve"> were 25 – </w:t>
      </w:r>
      <w:r w:rsidR="00E65C77" w:rsidRPr="00E65C77">
        <w:rPr>
          <w:lang w:bidi="ar-SA"/>
        </w:rPr>
        <w:t>60</w:t>
      </w:r>
      <w:r w:rsidR="00887453" w:rsidRPr="00E65C77">
        <w:rPr>
          <w:lang w:bidi="ar-SA"/>
        </w:rPr>
        <w:t>% ADI and P90 exposures were 50 – 110% ADI, depending on the population group being assessed. However, the dietary exposure estimates</w:t>
      </w:r>
      <w:r w:rsidR="00887453">
        <w:rPr>
          <w:lang w:bidi="ar-SA"/>
        </w:rPr>
        <w:t xml:space="preserve"> based on MPLs are highly conservative and are not likely to occur in reality because they are based on </w:t>
      </w:r>
      <w:r w:rsidR="005B1B28">
        <w:rPr>
          <w:lang w:bidi="ar-SA"/>
        </w:rPr>
        <w:t xml:space="preserve">the following </w:t>
      </w:r>
      <w:r w:rsidR="00887453">
        <w:rPr>
          <w:lang w:bidi="ar-SA"/>
        </w:rPr>
        <w:t>assumptions</w:t>
      </w:r>
      <w:r w:rsidR="005B1B28">
        <w:rPr>
          <w:lang w:bidi="ar-SA"/>
        </w:rPr>
        <w:t xml:space="preserve">: </w:t>
      </w:r>
      <w:r w:rsidR="00887453">
        <w:rPr>
          <w:lang w:bidi="ar-SA"/>
        </w:rPr>
        <w:t>all foods within a category contain rosemary extract at the MPL</w:t>
      </w:r>
      <w:r w:rsidR="005B1B28">
        <w:rPr>
          <w:lang w:bidi="ar-SA"/>
        </w:rPr>
        <w:t xml:space="preserve">; </w:t>
      </w:r>
      <w:r w:rsidR="00887453">
        <w:rPr>
          <w:lang w:bidi="ar-SA"/>
        </w:rPr>
        <w:t>all of the foods within the food categories requested to contain rosemary extract will use rosemary extract</w:t>
      </w:r>
      <w:r w:rsidR="005B1B28">
        <w:rPr>
          <w:lang w:bidi="ar-SA"/>
        </w:rPr>
        <w:t xml:space="preserve">; </w:t>
      </w:r>
      <w:r w:rsidR="00887453">
        <w:rPr>
          <w:lang w:bidi="ar-SA"/>
        </w:rPr>
        <w:t>and consumers always eat the products containing rosemary extracts at these concentrations over a lifetime. FSANZ considers that the Usual Use scenarios represent a more likely estimate of dietary exposures to carnosic acid plus carnosol.</w:t>
      </w:r>
    </w:p>
    <w:p w14:paraId="199B1557" w14:textId="77777777" w:rsidR="00887453" w:rsidRDefault="00887453" w:rsidP="00887453">
      <w:pPr>
        <w:rPr>
          <w:lang w:bidi="ar-SA"/>
        </w:rPr>
      </w:pPr>
    </w:p>
    <w:p w14:paraId="6D8E61E6" w14:textId="24E70E86" w:rsidR="00887453" w:rsidRDefault="00887453" w:rsidP="00887453">
      <w:pPr>
        <w:rPr>
          <w:lang w:bidi="ar-SA"/>
        </w:rPr>
      </w:pPr>
      <w:r>
        <w:rPr>
          <w:lang w:bidi="ar-SA"/>
        </w:rPr>
        <w:t xml:space="preserve">In estimating dietary exposure to carnosic acid plus carnosol from the use of rosemary extract as an antioxidant, JECFA did not include exposure to carnosic acid plus carnosol through use of rosemary leaves as a culinary herb, because JECFA considered that any </w:t>
      </w:r>
      <w:r>
        <w:rPr>
          <w:lang w:bidi="ar-SA"/>
        </w:rPr>
        <w:lastRenderedPageBreak/>
        <w:t>exposure from rosemary leaves was not likely to significantly alter the overall exposure (WHO, 2017). The FSANZ assessment confirmed that there is very little, if any, difference between %ADI for the ‘added rosemary extract only’ and the ‘naturally-occurring plus added rosemary extract’ scenarios.</w:t>
      </w:r>
    </w:p>
    <w:p w14:paraId="0A4EB6B5" w14:textId="77777777" w:rsidR="00887453" w:rsidRDefault="00887453" w:rsidP="00887453">
      <w:pPr>
        <w:rPr>
          <w:lang w:bidi="ar-SA"/>
        </w:rPr>
      </w:pPr>
    </w:p>
    <w:p w14:paraId="4764BFAC" w14:textId="05941E2D" w:rsidR="002C2AE2" w:rsidRDefault="00887453" w:rsidP="00887453">
      <w:pPr>
        <w:rPr>
          <w:lang w:bidi="ar-SA"/>
        </w:rPr>
      </w:pPr>
      <w:r w:rsidRPr="00DB3573">
        <w:rPr>
          <w:lang w:bidi="ar-SA"/>
        </w:rPr>
        <w:t xml:space="preserve">In conclusion, </w:t>
      </w:r>
      <w:r w:rsidR="002C2AE2" w:rsidRPr="00DB3573">
        <w:rPr>
          <w:lang w:bidi="ar-SA"/>
        </w:rPr>
        <w:t>based on the safety and dietary exposure assessments, there is no evidence of a public health and safety concern associated with adding rosemary extract as an antioxidant to the requested foods.</w:t>
      </w:r>
    </w:p>
    <w:p w14:paraId="001BCC47" w14:textId="2BECCCBC" w:rsidR="002F200C" w:rsidRDefault="002F200C" w:rsidP="007E2272">
      <w:pPr>
        <w:pStyle w:val="Heading1"/>
      </w:pPr>
      <w:bookmarkStart w:id="263" w:name="_Toc518388307"/>
      <w:bookmarkStart w:id="264" w:name="_Toc526498396"/>
      <w:bookmarkStart w:id="265" w:name="_Toc517709908"/>
      <w:r>
        <w:t>References</w:t>
      </w:r>
      <w:bookmarkEnd w:id="263"/>
      <w:bookmarkEnd w:id="264"/>
    </w:p>
    <w:p w14:paraId="1D2442EC" w14:textId="6F081762"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bidi="ar-SA"/>
        </w:rPr>
        <w:t xml:space="preserve">ABS (2014) </w:t>
      </w:r>
      <w:hyperlink r:id="rId25" w:history="1">
        <w:r w:rsidRPr="00B75459">
          <w:rPr>
            <w:rStyle w:val="Hyperlink"/>
            <w:rFonts w:eastAsia="Calibri" w:cs="Arial"/>
            <w:szCs w:val="22"/>
            <w:lang w:bidi="ar-SA"/>
          </w:rPr>
          <w:t>National Nutrition and Physical Activity Survey</w:t>
        </w:r>
      </w:hyperlink>
      <w:r w:rsidRPr="002F200C">
        <w:rPr>
          <w:rFonts w:eastAsia="Calibri" w:cs="Arial"/>
          <w:color w:val="2E3037"/>
          <w:szCs w:val="22"/>
          <w:lang w:bidi="ar-SA"/>
        </w:rPr>
        <w:t xml:space="preserve">, 2011–12, Basic CURF. Australian Government, Canberra. </w:t>
      </w:r>
      <w:r w:rsidR="00F35019">
        <w:rPr>
          <w:rFonts w:eastAsia="Calibri" w:cs="Arial"/>
          <w:color w:val="2E3037"/>
          <w:szCs w:val="22"/>
          <w:lang w:bidi="ar-SA"/>
        </w:rPr>
        <w:t xml:space="preserve">Accessed 2 July 2108. </w:t>
      </w:r>
      <w:hyperlink r:id="rId26" w:history="1">
        <w:r w:rsidRPr="002F200C">
          <w:rPr>
            <w:rFonts w:eastAsia="Calibri" w:cs="Arial"/>
            <w:color w:val="0000FF"/>
            <w:szCs w:val="22"/>
            <w:u w:val="single"/>
            <w:lang w:bidi="ar-SA"/>
          </w:rPr>
          <w:t>http://www.abs.gov.au/AUSSTATS/abs@.nsf/Latestproducts/4324.0.55.002Main%20Features652011-12?opendocument&amp;tabname=Summary&amp;prodno=4324.0.55.002&amp;issue=2011-12&amp;num=&amp;view</w:t>
        </w:r>
      </w:hyperlink>
      <w:r w:rsidRPr="002F200C">
        <w:rPr>
          <w:rFonts w:eastAsia="Calibri" w:cs="Arial"/>
          <w:color w:val="2E3037"/>
          <w:szCs w:val="22"/>
          <w:lang w:bidi="ar-SA"/>
        </w:rPr>
        <w:t>=</w:t>
      </w:r>
    </w:p>
    <w:p w14:paraId="1328254A" w14:textId="315BBEC6"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Anadón A, Martínez-Larrañaga MR, Martínez MA, Ares I, García-Risco MR, Señoráns FJ and Reglero G (2008)</w:t>
      </w:r>
      <w:r w:rsidR="00F35019">
        <w:rPr>
          <w:rFonts w:eastAsia="Calibri" w:cs="Arial"/>
          <w:color w:val="2E3037"/>
          <w:szCs w:val="22"/>
          <w:lang w:val="en-AU" w:bidi="ar-SA"/>
        </w:rPr>
        <w:t xml:space="preserve"> </w:t>
      </w:r>
      <w:r w:rsidRPr="002F200C">
        <w:rPr>
          <w:rFonts w:eastAsia="Calibri" w:cs="Arial"/>
          <w:color w:val="2E3037"/>
          <w:szCs w:val="22"/>
          <w:lang w:val="en-AU" w:bidi="ar-SA"/>
        </w:rPr>
        <w:t xml:space="preserve"> Acute oral safety study of rosemary extracts in rats. Journal of Food Protection 71: 790-795</w:t>
      </w:r>
    </w:p>
    <w:p w14:paraId="062B3B4A"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Begum A, Sandhya S, Ali SS, Vinod KR, Reddy S and Banji D (2013) An in-depth review on the medicinal flora Rosmarinus officinalis (Lamiaceae). Acta Scientiarum Polonorum. Technologia Alimentaria. 12(1): 61-73</w:t>
      </w:r>
    </w:p>
    <w:p w14:paraId="438E2A39" w14:textId="50589F90" w:rsidR="002F200C" w:rsidRPr="002F200C" w:rsidRDefault="00F35019" w:rsidP="002F200C">
      <w:pPr>
        <w:widowControl/>
        <w:spacing w:after="240"/>
        <w:rPr>
          <w:rFonts w:eastAsia="Calibri" w:cs="Arial"/>
          <w:color w:val="2E3037"/>
          <w:szCs w:val="22"/>
          <w:lang w:bidi="ar-SA"/>
        </w:rPr>
      </w:pPr>
      <w:bookmarkStart w:id="266" w:name="_CTVL0012ff332508a194e09907cbe06e471996e"/>
      <w:r>
        <w:rPr>
          <w:rFonts w:eastAsia="Calibri" w:cs="Arial"/>
          <w:color w:val="2E3037"/>
          <w:szCs w:val="22"/>
          <w:lang w:bidi="ar-SA"/>
        </w:rPr>
        <w:t xml:space="preserve">Berdahl DR, McKeague J (2015) </w:t>
      </w:r>
      <w:r w:rsidR="002F200C" w:rsidRPr="002F200C">
        <w:rPr>
          <w:rFonts w:eastAsia="Calibri" w:cs="Arial"/>
          <w:color w:val="2E3037"/>
          <w:szCs w:val="22"/>
          <w:lang w:bidi="ar-SA"/>
        </w:rPr>
        <w:t xml:space="preserve"> Rosemary and sage extracts as antioxidants for food preservation A2 - Shahidi, Fereidoon. In: Rosemary and sage extracts as antioxidants for food preservation A2-Shahidi, Fereidoon (ed) Handbook of Antioxidants for Food Preservation : Woodhead Publishing Series in Food Science, Technology and Nutrition. Woodhead Publishing, pp 177–217</w:t>
      </w:r>
    </w:p>
    <w:p w14:paraId="3FF6AA38" w14:textId="77777777" w:rsidR="002F200C" w:rsidRPr="002F200C" w:rsidRDefault="002F200C" w:rsidP="002F200C">
      <w:pPr>
        <w:widowControl/>
        <w:spacing w:after="240"/>
        <w:rPr>
          <w:rFonts w:eastAsia="Calibri" w:cs="Arial"/>
          <w:color w:val="2E3037"/>
          <w:szCs w:val="22"/>
          <w:lang w:bidi="ar-SA"/>
        </w:rPr>
      </w:pPr>
      <w:bookmarkStart w:id="267" w:name="_CTVL00135abb81114c44998848288aded070f7f"/>
      <w:bookmarkEnd w:id="266"/>
      <w:r w:rsidRPr="002F200C">
        <w:rPr>
          <w:rFonts w:eastAsia="Calibri" w:cs="Arial"/>
          <w:color w:val="2E3037"/>
          <w:szCs w:val="22"/>
          <w:lang w:bidi="ar-SA"/>
        </w:rPr>
        <w:t>Birtić S, Dussort P, Pierre F-X, Bily AC, Roller M (2015) Carnosic acid. Phytochemistry 115:9–19. doi: 10.1016/j.phytochem.2014.12.026</w:t>
      </w:r>
      <w:bookmarkEnd w:id="267"/>
    </w:p>
    <w:p w14:paraId="74ECF431" w14:textId="5A2C87FF"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Boutoial K, Ferrandini E, Rovira S, García V and López MB (2013) Effect of feeding goats with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spp.) by-product on milk and cheese properties. Small Ruminant Research 112: 147-153</w:t>
      </w:r>
    </w:p>
    <w:p w14:paraId="4160F170" w14:textId="1CBCF1B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Boutoial K, García V, Rovira S, Ferrandini E and López MB (2017) Consumer acceptance of milk from goats fed a diet supplemented with aromatic plants. International Journal of Dairy Technology 70: 146-150</w:t>
      </w:r>
    </w:p>
    <w:p w14:paraId="3F1B366C" w14:textId="27447969"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Branciari R, Ranucci D, Trabalza-Marinucci M, Codini M, Orru M, Ortenzi R, Forte C, Ceccarini MR and Valiani A (2015) Evaluation of the antioxidant properties and oxidative stability of Pecorino cheese made from the raw milk of ewes fed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leaves. International Journal of Food Science and Technology 50: 558-565</w:t>
      </w:r>
    </w:p>
    <w:p w14:paraId="120393D2" w14:textId="046AC8BB"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Chiofalo B, Riolo EB, Fasciana G, Liotta L and Chiofalo V (2010) Organic management of dietary rosemary extract in dairy sheep: effects on milk quality and clotting properties. Veterinary Research Communications 34(Suppl.1): S197-S201</w:t>
      </w:r>
    </w:p>
    <w:p w14:paraId="2E4A96D0" w14:textId="77777777" w:rsidR="002F200C" w:rsidRPr="002F200C" w:rsidRDefault="002F200C" w:rsidP="002F200C">
      <w:pPr>
        <w:widowControl/>
        <w:spacing w:after="240"/>
        <w:rPr>
          <w:rFonts w:eastAsia="Calibri" w:cs="Arial"/>
          <w:color w:val="2E3037"/>
          <w:szCs w:val="22"/>
          <w:lang w:bidi="ar-SA"/>
        </w:rPr>
      </w:pPr>
      <w:bookmarkStart w:id="268" w:name="_CTVL001834a31f1690b43db91a826c5c512fdf1"/>
      <w:r w:rsidRPr="002F200C">
        <w:rPr>
          <w:rFonts w:eastAsia="Calibri" w:cs="Arial"/>
          <w:color w:val="2E3037"/>
          <w:szCs w:val="22"/>
          <w:lang w:bidi="ar-SA"/>
        </w:rPr>
        <w:t>Carocho M, Morales P, Ferreira IC (2018) Antioxidants: Reviewing the chemistry, food applications, legislation and role as preservatives. Trends in Food Science &amp; Technology 71:107–120. doi: 10.1016/j.tifs.2017.11.008</w:t>
      </w:r>
      <w:bookmarkEnd w:id="268"/>
    </w:p>
    <w:p w14:paraId="7E8873E3" w14:textId="77777777" w:rsidR="002F200C" w:rsidRPr="002F200C" w:rsidRDefault="002F200C" w:rsidP="002F200C">
      <w:pPr>
        <w:widowControl/>
        <w:spacing w:after="240"/>
        <w:rPr>
          <w:rFonts w:eastAsia="Calibri" w:cs="Arial"/>
          <w:color w:val="2E3037"/>
          <w:szCs w:val="22"/>
          <w:lang w:bidi="ar-SA"/>
        </w:rPr>
      </w:pPr>
      <w:bookmarkStart w:id="269" w:name="_CTVL001e64f7da57fed4275a05023c272030316"/>
      <w:r w:rsidRPr="002F200C">
        <w:rPr>
          <w:rFonts w:eastAsia="Calibri" w:cs="Arial"/>
          <w:color w:val="2E3037"/>
          <w:szCs w:val="22"/>
          <w:lang w:bidi="ar-SA"/>
        </w:rPr>
        <w:lastRenderedPageBreak/>
        <w:t>De Raadt P, Wirtz S, Vos E, Verhagen H (2015) Short Review of Extracts of Rosemary as a Food Additive. European Journal of Nutrition &amp; Food Safety 5:126–137</w:t>
      </w:r>
      <w:bookmarkEnd w:id="269"/>
    </w:p>
    <w:p w14:paraId="53D2D2DC"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Doolaege EHA, Raes K, De Vos F, Verhé R and De Smet S (2011) Absorption, distribution and elimination of carnosic acid, a natural antioxidant from </w:t>
      </w:r>
      <w:r w:rsidRPr="002F200C">
        <w:rPr>
          <w:rFonts w:eastAsia="Calibri" w:cs="Arial"/>
          <w:i/>
          <w:color w:val="2E3037"/>
          <w:szCs w:val="22"/>
          <w:lang w:val="en-AU" w:bidi="ar-SA"/>
        </w:rPr>
        <w:t>Romarinus officinalis</w:t>
      </w:r>
      <w:r w:rsidRPr="002F200C">
        <w:rPr>
          <w:rFonts w:eastAsia="Calibri" w:cs="Arial"/>
          <w:color w:val="2E3037"/>
          <w:szCs w:val="22"/>
          <w:lang w:val="en-AU" w:bidi="ar-SA"/>
        </w:rPr>
        <w:t>, in rats. Plant Foods for Human Nutrition 66: 196-202</w:t>
      </w:r>
    </w:p>
    <w:p w14:paraId="59F02474" w14:textId="24760303" w:rsidR="002F200C" w:rsidRPr="002F200C" w:rsidRDefault="002F200C" w:rsidP="002F200C">
      <w:pPr>
        <w:widowControl/>
        <w:rPr>
          <w:rFonts w:eastAsia="Calibri" w:cs="Arial"/>
          <w:color w:val="2E3037"/>
          <w:szCs w:val="22"/>
          <w:lang w:val="en-AU" w:bidi="ar-SA"/>
        </w:rPr>
      </w:pPr>
      <w:r w:rsidRPr="002F200C">
        <w:rPr>
          <w:rFonts w:eastAsia="Calibri" w:cs="Arial"/>
          <w:color w:val="2E3037"/>
          <w:szCs w:val="22"/>
          <w:lang w:val="en-AU" w:bidi="ar-SA"/>
        </w:rPr>
        <w:t xml:space="preserve">European Food Safety Authority (EFSA) (2008) </w:t>
      </w:r>
      <w:hyperlink r:id="rId27" w:history="1">
        <w:r w:rsidRPr="00B75459">
          <w:rPr>
            <w:rStyle w:val="Hyperlink"/>
            <w:rFonts w:eastAsia="Calibri" w:cs="Arial"/>
            <w:szCs w:val="22"/>
            <w:lang w:val="en-AU" w:bidi="ar-SA"/>
          </w:rPr>
          <w:t>Use of rosemary extracts as a food additive.</w:t>
        </w:r>
      </w:hyperlink>
      <w:r w:rsidRPr="002F200C">
        <w:rPr>
          <w:rFonts w:eastAsia="Calibri" w:cs="Arial"/>
          <w:color w:val="2E3037"/>
          <w:szCs w:val="22"/>
          <w:lang w:val="en-AU" w:bidi="ar-SA"/>
        </w:rPr>
        <w:t xml:space="preserve"> Scientific opinion of the panel on food additives, flavourings, processing aids and materials in contact with food. The EFSA Journal 721: 1-29</w:t>
      </w:r>
    </w:p>
    <w:p w14:paraId="6CB34A82" w14:textId="5E5E6008" w:rsidR="002F200C" w:rsidRPr="002F200C" w:rsidRDefault="00BD09F0" w:rsidP="002F200C">
      <w:pPr>
        <w:widowControl/>
        <w:rPr>
          <w:rFonts w:eastAsia="Calibri" w:cs="Arial"/>
          <w:color w:val="2E3037"/>
          <w:szCs w:val="22"/>
          <w:lang w:val="en-AU" w:bidi="ar-SA"/>
        </w:rPr>
      </w:pPr>
      <w:hyperlink r:id="rId28" w:history="1">
        <w:r w:rsidR="002F200C" w:rsidRPr="002F200C">
          <w:rPr>
            <w:rFonts w:eastAsia="Calibri" w:cs="Arial"/>
            <w:color w:val="0000FF"/>
            <w:szCs w:val="22"/>
            <w:u w:val="single"/>
            <w:lang w:val="en-AU" w:bidi="ar-SA"/>
          </w:rPr>
          <w:t>http://www.efsa.europa.eu/sites/default/files/scientific_output/files/main_documents/721.pdf</w:t>
        </w:r>
      </w:hyperlink>
    </w:p>
    <w:p w14:paraId="353E4B4C" w14:textId="77777777" w:rsidR="002F200C" w:rsidRPr="002F200C" w:rsidRDefault="002F200C" w:rsidP="001C480C">
      <w:pPr>
        <w:widowControl/>
        <w:spacing w:before="240" w:after="240"/>
        <w:rPr>
          <w:rFonts w:eastAsia="Calibri" w:cs="Arial"/>
          <w:color w:val="2E3037"/>
          <w:szCs w:val="22"/>
          <w:lang w:val="en-AU" w:bidi="ar-SA"/>
        </w:rPr>
      </w:pPr>
      <w:r w:rsidRPr="002F200C">
        <w:rPr>
          <w:rFonts w:eastAsia="Calibri" w:cs="Arial"/>
          <w:color w:val="2E3037"/>
          <w:szCs w:val="22"/>
          <w:lang w:val="en-AU" w:bidi="ar-SA"/>
        </w:rPr>
        <w:t>European Food Safety Authority (EFSA) (2015) Extension of use of extracts of rosemary (E392) in fat-based spreads. EFSA panel on food additives and nutrient sources added in food (ANS). The EFSA Journal 13(5): 4090</w:t>
      </w:r>
    </w:p>
    <w:p w14:paraId="31DB7601" w14:textId="40129853"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Food Chemicals Codex (FCC) </w:t>
      </w:r>
      <w:r w:rsidR="00F35019">
        <w:rPr>
          <w:rFonts w:eastAsia="Calibri" w:cs="Arial"/>
          <w:color w:val="2E3037"/>
          <w:szCs w:val="22"/>
          <w:lang w:val="en-AU" w:bidi="ar-SA"/>
        </w:rPr>
        <w:t>(</w:t>
      </w:r>
      <w:r w:rsidRPr="002F200C">
        <w:rPr>
          <w:rFonts w:eastAsia="Calibri" w:cs="Arial"/>
          <w:color w:val="2E3037"/>
          <w:szCs w:val="22"/>
          <w:lang w:val="en-AU" w:bidi="ar-SA"/>
        </w:rPr>
        <w:t>2016</w:t>
      </w:r>
      <w:r w:rsidR="00F35019">
        <w:rPr>
          <w:rFonts w:eastAsia="Calibri" w:cs="Arial"/>
          <w:color w:val="2E3037"/>
          <w:szCs w:val="22"/>
          <w:lang w:val="en-AU" w:bidi="ar-SA"/>
        </w:rPr>
        <w:t>)</w:t>
      </w:r>
      <w:r w:rsidRPr="002F200C">
        <w:rPr>
          <w:rFonts w:eastAsia="Calibri" w:cs="Arial"/>
          <w:color w:val="2E3037"/>
          <w:szCs w:val="22"/>
          <w:lang w:val="en-AU" w:bidi="ar-SA"/>
        </w:rPr>
        <w:t xml:space="preserve"> Rosemary Extract. In Food Chemicals Codex 10</w:t>
      </w:r>
      <w:r w:rsidRPr="002F200C">
        <w:rPr>
          <w:rFonts w:eastAsia="Calibri" w:cs="Arial"/>
          <w:color w:val="2E3037"/>
          <w:szCs w:val="22"/>
          <w:vertAlign w:val="superscript"/>
          <w:lang w:val="en-AU" w:bidi="ar-SA"/>
        </w:rPr>
        <w:t>th</w:t>
      </w:r>
      <w:r w:rsidRPr="002F200C">
        <w:rPr>
          <w:rFonts w:eastAsia="Calibri" w:cs="Arial"/>
          <w:color w:val="2E3037"/>
          <w:szCs w:val="22"/>
          <w:lang w:val="en-AU" w:bidi="ar-SA"/>
        </w:rPr>
        <w:t xml:space="preserve"> edition. The United States Pharmacopeial Convention. </w:t>
      </w:r>
    </w:p>
    <w:p w14:paraId="4B4AE492" w14:textId="77777777" w:rsidR="002F200C" w:rsidRPr="002F200C" w:rsidRDefault="002F200C" w:rsidP="002F200C">
      <w:pPr>
        <w:widowControl/>
        <w:spacing w:after="240"/>
        <w:rPr>
          <w:rFonts w:eastAsia="Calibri" w:cs="Arial"/>
          <w:color w:val="2E3037"/>
          <w:szCs w:val="22"/>
          <w:lang w:bidi="ar-SA"/>
        </w:rPr>
      </w:pPr>
      <w:bookmarkStart w:id="270" w:name="_CTVL0019412ae47506b410a8fcef7f6f27713a3"/>
      <w:r w:rsidRPr="002F200C">
        <w:rPr>
          <w:rFonts w:eastAsia="Calibri" w:cs="Arial"/>
          <w:color w:val="2E3037"/>
          <w:szCs w:val="22"/>
          <w:lang w:bidi="ar-SA"/>
        </w:rPr>
        <w:t>Frankel EN, Huang S-W, Aeschbach R, Prior E (1996) Antioxidant Activity of a Rosemary Extract and Its Constituents, Carnosic Acid, Carnosol, and Rosmarinic Acid, in Bulk Oil and Oil-in-Water Emulsion. Journal of Agricultural and Food Chemistry 44:131–135. doi: 10.1021/jf950374p</w:t>
      </w:r>
      <w:bookmarkEnd w:id="270"/>
    </w:p>
    <w:p w14:paraId="49778F38" w14:textId="6BFC366D" w:rsidR="00B75459" w:rsidRDefault="002F200C" w:rsidP="00B75459">
      <w:pPr>
        <w:widowControl/>
        <w:spacing w:after="240"/>
        <w:rPr>
          <w:rFonts w:eastAsia="Calibri" w:cs="Arial"/>
          <w:color w:val="2E3037"/>
          <w:szCs w:val="22"/>
          <w:lang w:bidi="ar-SA"/>
        </w:rPr>
      </w:pPr>
      <w:r w:rsidRPr="002F200C">
        <w:rPr>
          <w:rFonts w:eastAsia="Calibri" w:cs="Arial"/>
          <w:color w:val="2E3037"/>
          <w:szCs w:val="22"/>
          <w:lang w:bidi="ar-SA"/>
        </w:rPr>
        <w:t xml:space="preserve">FSANZ (2009) </w:t>
      </w:r>
      <w:hyperlink r:id="rId29" w:history="1">
        <w:r w:rsidRPr="00B75459">
          <w:rPr>
            <w:rStyle w:val="Hyperlink"/>
            <w:rFonts w:eastAsia="Calibri" w:cs="Arial"/>
            <w:szCs w:val="22"/>
            <w:lang w:bidi="ar-SA"/>
          </w:rPr>
          <w:t>Principles and Practices of Dietary Exposure Assessment for Food Regulatory Purposes</w:t>
        </w:r>
      </w:hyperlink>
      <w:r w:rsidRPr="002F200C">
        <w:rPr>
          <w:rFonts w:eastAsia="Calibri" w:cs="Arial"/>
          <w:color w:val="2E3037"/>
          <w:szCs w:val="22"/>
          <w:lang w:bidi="ar-SA"/>
        </w:rPr>
        <w:t>. Report prepared by Food Standards Australia New Zealand, Canberra.</w:t>
      </w:r>
      <w:r w:rsidR="00F35019">
        <w:rPr>
          <w:rFonts w:eastAsia="Calibri" w:cs="Arial"/>
          <w:color w:val="2E3037"/>
          <w:szCs w:val="22"/>
          <w:lang w:bidi="ar-SA"/>
        </w:rPr>
        <w:t xml:space="preserve"> Accessed on 2 July 2018.</w:t>
      </w:r>
      <w:r w:rsidRPr="002F200C">
        <w:rPr>
          <w:rFonts w:eastAsia="Calibri" w:cs="Arial"/>
          <w:color w:val="2E3037"/>
          <w:szCs w:val="22"/>
          <w:lang w:bidi="ar-SA"/>
        </w:rPr>
        <w:t xml:space="preserve"> </w:t>
      </w:r>
      <w:hyperlink r:id="rId30" w:history="1">
        <w:r w:rsidRPr="002F200C">
          <w:rPr>
            <w:rFonts w:eastAsia="Calibri" w:cs="Arial"/>
            <w:color w:val="0000FF"/>
            <w:szCs w:val="22"/>
            <w:u w:val="single"/>
            <w:lang w:bidi="ar-SA"/>
          </w:rPr>
          <w:t>http://www.foodstandards.gov.au/publications/Pages/Principles-and-Practices-of-Dietary.aspx</w:t>
        </w:r>
      </w:hyperlink>
    </w:p>
    <w:p w14:paraId="19BA687D" w14:textId="45C0D4B4" w:rsidR="00B75459" w:rsidRDefault="002F200C" w:rsidP="00B75459">
      <w:pPr>
        <w:widowControl/>
        <w:spacing w:after="240"/>
        <w:rPr>
          <w:rFonts w:eastAsia="Calibri" w:cs="Arial"/>
          <w:color w:val="2E3037"/>
          <w:szCs w:val="22"/>
          <w:lang w:bidi="ar-SA"/>
        </w:rPr>
      </w:pPr>
      <w:r w:rsidRPr="002F200C">
        <w:rPr>
          <w:rFonts w:eastAsia="Calibri" w:cs="Arial"/>
          <w:color w:val="2E3037"/>
          <w:szCs w:val="22"/>
          <w:lang w:val="en-AU" w:bidi="ar-SA"/>
        </w:rPr>
        <w:t xml:space="preserve">FSANZ (2014) Protecting 'high consumers'. </w:t>
      </w:r>
      <w:r w:rsidR="00B75459" w:rsidRPr="00B75459">
        <w:rPr>
          <w:rFonts w:eastAsia="Calibri" w:cs="Arial"/>
          <w:color w:val="2E3037"/>
          <w:szCs w:val="22"/>
          <w:lang w:bidi="ar-SA"/>
        </w:rPr>
        <w:t>Food S</w:t>
      </w:r>
      <w:r w:rsidR="00B75459">
        <w:rPr>
          <w:rFonts w:eastAsia="Calibri" w:cs="Arial"/>
          <w:color w:val="2E3037"/>
          <w:szCs w:val="22"/>
          <w:lang w:bidi="ar-SA"/>
        </w:rPr>
        <w:t>tandards Australia New Zealand</w:t>
      </w:r>
      <w:r w:rsidR="00F35019">
        <w:rPr>
          <w:rFonts w:eastAsia="Calibri" w:cs="Arial"/>
          <w:color w:val="2E3037"/>
          <w:szCs w:val="22"/>
          <w:lang w:bidi="ar-SA"/>
        </w:rPr>
        <w:t xml:space="preserve"> website.  Accessed on 2 July 2018</w:t>
      </w:r>
      <w:r w:rsidR="00B75459">
        <w:rPr>
          <w:rFonts w:eastAsia="Calibri" w:cs="Arial"/>
          <w:color w:val="2E3037"/>
          <w:szCs w:val="22"/>
          <w:lang w:bidi="ar-SA"/>
        </w:rPr>
        <w:t xml:space="preserve"> </w:t>
      </w:r>
      <w:hyperlink r:id="rId31" w:history="1">
        <w:r w:rsidRPr="002F200C">
          <w:rPr>
            <w:rFonts w:eastAsia="Calibri" w:cs="Arial"/>
            <w:color w:val="0000FF"/>
            <w:szCs w:val="22"/>
            <w:u w:val="single"/>
            <w:lang w:val="en-AU" w:bidi="ar-SA"/>
          </w:rPr>
          <w:t>http://www.foodstandards.gov.au/science/exposure/Pages/protectinghighconsum4441.aspx</w:t>
        </w:r>
      </w:hyperlink>
    </w:p>
    <w:p w14:paraId="796ED3D9" w14:textId="11ACE6D1" w:rsidR="002F200C" w:rsidRPr="00B75459" w:rsidRDefault="002F200C" w:rsidP="00B75459">
      <w:pPr>
        <w:widowControl/>
        <w:spacing w:after="240"/>
        <w:rPr>
          <w:rFonts w:eastAsia="Calibri" w:cs="Arial"/>
          <w:color w:val="2E3037"/>
          <w:szCs w:val="22"/>
          <w:lang w:bidi="ar-SA"/>
        </w:rPr>
      </w:pPr>
      <w:r w:rsidRPr="002F200C">
        <w:rPr>
          <w:rFonts w:eastAsia="Calibri" w:cs="Arial"/>
          <w:color w:val="2E3037"/>
          <w:szCs w:val="22"/>
          <w:lang w:val="en-AU" w:bidi="ar-SA"/>
        </w:rPr>
        <w:t xml:space="preserve">FSANZ (2016) </w:t>
      </w:r>
      <w:r w:rsidRPr="002F200C">
        <w:rPr>
          <w:rFonts w:eastAsia="Calibri" w:cs="Arial"/>
          <w:i/>
          <w:color w:val="2E3037"/>
          <w:szCs w:val="22"/>
          <w:lang w:val="en-AU" w:bidi="ar-SA"/>
        </w:rPr>
        <w:t>AUSNUT 2011-13 Food nutrient database.</w:t>
      </w:r>
      <w:r w:rsidRPr="002F200C">
        <w:rPr>
          <w:rFonts w:eastAsia="Calibri" w:cs="Arial"/>
          <w:color w:val="2E3037"/>
          <w:szCs w:val="22"/>
          <w:lang w:val="en-AU" w:bidi="ar-SA"/>
        </w:rPr>
        <w:t xml:space="preserve"> </w:t>
      </w:r>
      <w:r w:rsidR="00F35019" w:rsidRPr="00F35019">
        <w:rPr>
          <w:rFonts w:eastAsia="Calibri" w:cs="Arial"/>
          <w:color w:val="2E3037"/>
          <w:szCs w:val="22"/>
          <w:lang w:bidi="ar-SA"/>
        </w:rPr>
        <w:t xml:space="preserve">Food Standards Australia New Zealand website.  Accessed on 2 July 2018 </w:t>
      </w:r>
      <w:hyperlink r:id="rId32" w:history="1">
        <w:r w:rsidRPr="002F200C">
          <w:rPr>
            <w:rFonts w:eastAsia="Calibri" w:cs="Arial"/>
            <w:color w:val="0000FF"/>
            <w:szCs w:val="22"/>
            <w:u w:val="single"/>
            <w:lang w:val="en-AU" w:bidi="ar-SA"/>
          </w:rPr>
          <w:t>http://www.foodstandards.gov.au/science/monitoringnutrients/ausnut/ausnutdatafiles/pages/foodnutrient.aspx</w:t>
        </w:r>
      </w:hyperlink>
      <w:r w:rsidRPr="002F200C">
        <w:rPr>
          <w:rFonts w:eastAsia="Calibri" w:cs="Arial"/>
          <w:color w:val="2E3037"/>
          <w:szCs w:val="22"/>
          <w:lang w:val="en-AU" w:bidi="ar-SA"/>
        </w:rPr>
        <w:t xml:space="preserve"> Accessed on </w:t>
      </w:r>
      <w:r w:rsidRPr="002F200C">
        <w:rPr>
          <w:rFonts w:eastAsia="Calibri" w:cs="Arial"/>
          <w:color w:val="2E3037"/>
          <w:szCs w:val="22"/>
          <w:lang w:val="en-AU" w:eastAsia="en-AU" w:bidi="ar-SA"/>
        </w:rPr>
        <w:t>10 January 2018</w:t>
      </w:r>
      <w:r w:rsidRPr="002F200C">
        <w:rPr>
          <w:rFonts w:eastAsia="Calibri" w:cs="Arial"/>
          <w:color w:val="2E3037"/>
          <w:szCs w:val="22"/>
          <w:lang w:val="en-AU" w:bidi="ar-SA"/>
        </w:rPr>
        <w:t>.</w:t>
      </w:r>
    </w:p>
    <w:p w14:paraId="2BC22584" w14:textId="4B0BF0FE"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Gaiani TF, Carvalho JCT, da Silva JMSF and Maistro EL (2006)</w:t>
      </w:r>
      <w:r w:rsidR="00F35019">
        <w:rPr>
          <w:rFonts w:ascii="Helvetica" w:hAnsi="Helvetica" w:cs="Helvetica"/>
          <w:b/>
          <w:bCs/>
          <w:color w:val="535353"/>
          <w:sz w:val="18"/>
          <w:szCs w:val="18"/>
          <w:lang w:val="en" w:bidi="ar-SA"/>
        </w:rPr>
        <w:t xml:space="preserve"> </w:t>
      </w:r>
      <w:r w:rsidRPr="002F200C">
        <w:rPr>
          <w:rFonts w:eastAsia="Calibri" w:cs="Arial"/>
          <w:color w:val="2E3037"/>
          <w:szCs w:val="22"/>
          <w:lang w:val="en-AU" w:bidi="ar-SA"/>
        </w:rPr>
        <w:t xml:space="preserve">Absence of clastogenic effects of the extract from medicinal plant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on Wistar rat bone marrow cells. Cytologia 71: 101-106</w:t>
      </w:r>
    </w:p>
    <w:p w14:paraId="52261231" w14:textId="46B5699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Haloui M, Louedec L, </w:t>
      </w:r>
      <w:r w:rsidR="00F35019">
        <w:rPr>
          <w:rFonts w:eastAsia="Calibri" w:cs="Arial"/>
          <w:color w:val="2E3037"/>
          <w:szCs w:val="22"/>
          <w:lang w:val="en-AU" w:bidi="ar-SA"/>
        </w:rPr>
        <w:t>Michel J-B and Lyoussi B (2000)</w:t>
      </w:r>
      <w:r w:rsidRPr="002F200C">
        <w:rPr>
          <w:rFonts w:eastAsia="Calibri" w:cs="Arial"/>
          <w:color w:val="2E3037"/>
          <w:szCs w:val="22"/>
          <w:lang w:val="en-AU" w:bidi="ar-SA"/>
        </w:rPr>
        <w:t xml:space="preserve"> Experimental diuretic effects of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and </w:t>
      </w:r>
      <w:r w:rsidRPr="002F200C">
        <w:rPr>
          <w:rFonts w:eastAsia="Calibri" w:cs="Arial"/>
          <w:i/>
          <w:color w:val="2E3037"/>
          <w:szCs w:val="22"/>
          <w:lang w:val="en-AU" w:bidi="ar-SA"/>
        </w:rPr>
        <w:t>Centaurium erythraea</w:t>
      </w:r>
      <w:r w:rsidRPr="002F200C">
        <w:rPr>
          <w:rFonts w:eastAsia="Calibri" w:cs="Arial"/>
          <w:color w:val="2E3037"/>
          <w:szCs w:val="22"/>
          <w:lang w:val="en-AU" w:bidi="ar-SA"/>
        </w:rPr>
        <w:t>. Journal of Ethnopharmacology 71: 465-472</w:t>
      </w:r>
    </w:p>
    <w:p w14:paraId="1994C875" w14:textId="53C4D153" w:rsidR="002F200C" w:rsidRPr="002F200C" w:rsidRDefault="002F200C" w:rsidP="002F200C">
      <w:pPr>
        <w:widowControl/>
        <w:spacing w:after="240"/>
        <w:rPr>
          <w:rFonts w:eastAsia="Calibri" w:cs="Arial"/>
          <w:color w:val="2E3037"/>
          <w:szCs w:val="22"/>
          <w:lang w:bidi="ar-SA"/>
        </w:rPr>
      </w:pPr>
      <w:bookmarkStart w:id="271" w:name="_CTVL001b386449bb87641d3ad5f34fc14f33718"/>
      <w:r w:rsidRPr="00B634EC">
        <w:rPr>
          <w:rFonts w:eastAsia="Calibri" w:cs="Arial"/>
          <w:color w:val="2E3037"/>
          <w:szCs w:val="22"/>
          <w:lang w:bidi="ar-SA"/>
        </w:rPr>
        <w:t>JECFA (2016) Rosemary Extract Chemical and Technical Assessment</w:t>
      </w:r>
      <w:bookmarkEnd w:id="271"/>
      <w:r w:rsidR="00B634EC">
        <w:rPr>
          <w:rFonts w:eastAsia="Calibri" w:cs="Arial"/>
          <w:color w:val="2E3037"/>
          <w:szCs w:val="22"/>
          <w:lang w:bidi="ar-SA"/>
        </w:rPr>
        <w:t>, s.I: Food and Agricultural Organization of the United Nations.</w:t>
      </w:r>
    </w:p>
    <w:p w14:paraId="7BDADE22" w14:textId="2B938D7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Jordán MJ, Castillo J, Bañon S, Martínez-Co</w:t>
      </w:r>
      <w:r w:rsidR="00F35019">
        <w:rPr>
          <w:rFonts w:eastAsia="Calibri" w:cs="Arial"/>
          <w:color w:val="2E3037"/>
          <w:szCs w:val="22"/>
          <w:lang w:val="en-AU" w:bidi="ar-SA"/>
        </w:rPr>
        <w:t xml:space="preserve">nesa C and Sotomayor JA (2014) </w:t>
      </w:r>
      <w:r w:rsidRPr="002F200C">
        <w:rPr>
          <w:rFonts w:eastAsia="Calibri" w:cs="Arial"/>
          <w:color w:val="2E3037"/>
          <w:szCs w:val="22"/>
          <w:lang w:val="en-AU" w:bidi="ar-SA"/>
        </w:rPr>
        <w:t>Relevance of the carnosic acid/carnosol ratio for the level of rosemary diterpene transfer and for improving lamb meat antioxidant status. Food Chemistry 151: 212-218</w:t>
      </w:r>
    </w:p>
    <w:p w14:paraId="1688AFF2" w14:textId="62823E5E"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lastRenderedPageBreak/>
        <w:t>Lemonica IP, Dam</w:t>
      </w:r>
      <w:r w:rsidR="00F35019">
        <w:rPr>
          <w:rFonts w:eastAsia="Calibri" w:cs="Arial"/>
          <w:color w:val="2E3037"/>
          <w:szCs w:val="22"/>
          <w:lang w:val="en-AU" w:bidi="ar-SA"/>
        </w:rPr>
        <w:t>asceno DC and diStasi LC (1996)</w:t>
      </w:r>
      <w:r w:rsidRPr="002F200C">
        <w:rPr>
          <w:rFonts w:eastAsia="Calibri" w:cs="Arial"/>
          <w:color w:val="2E3037"/>
          <w:szCs w:val="22"/>
          <w:lang w:val="en-AU" w:bidi="ar-SA"/>
        </w:rPr>
        <w:t xml:space="preserve"> Study of the embryotoxic effects of an extract of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Brazilian Journal of Medical and Biological Research 29: 223-227</w:t>
      </w:r>
    </w:p>
    <w:p w14:paraId="14D2987B" w14:textId="3B2E40C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Martínez GN (2013) Incorporation of by-products of rosemary and thyme in the diet of ewes: effect on the fatty acid profile of lamb. European Food Res</w:t>
      </w:r>
      <w:r w:rsidR="00F35019">
        <w:rPr>
          <w:rFonts w:eastAsia="Calibri" w:cs="Arial"/>
          <w:color w:val="2E3037"/>
          <w:szCs w:val="22"/>
          <w:lang w:val="en-AU" w:bidi="ar-SA"/>
        </w:rPr>
        <w:t>.</w:t>
      </w:r>
      <w:r w:rsidRPr="002F200C">
        <w:rPr>
          <w:rFonts w:eastAsia="Calibri" w:cs="Arial"/>
          <w:color w:val="2E3037"/>
          <w:szCs w:val="22"/>
          <w:lang w:val="en-AU" w:bidi="ar-SA"/>
        </w:rPr>
        <w:t xml:space="preserve"> and Tech</w:t>
      </w:r>
      <w:r w:rsidR="00F35019">
        <w:rPr>
          <w:rFonts w:eastAsia="Calibri" w:cs="Arial"/>
          <w:color w:val="2E3037"/>
          <w:szCs w:val="22"/>
          <w:lang w:val="en-AU" w:bidi="ar-SA"/>
        </w:rPr>
        <w:t>.</w:t>
      </w:r>
      <w:r w:rsidRPr="002F200C">
        <w:rPr>
          <w:rFonts w:eastAsia="Calibri" w:cs="Arial"/>
          <w:color w:val="2E3037"/>
          <w:szCs w:val="22"/>
          <w:lang w:val="en-AU" w:bidi="ar-SA"/>
        </w:rPr>
        <w:t xml:space="preserve"> 236: 379-389</w:t>
      </w:r>
    </w:p>
    <w:p w14:paraId="6E3057AF" w14:textId="77777777" w:rsidR="002F200C" w:rsidRPr="002F200C" w:rsidRDefault="002F200C" w:rsidP="002F200C">
      <w:pPr>
        <w:widowControl/>
        <w:spacing w:after="240"/>
        <w:rPr>
          <w:rFonts w:eastAsia="Calibri" w:cs="Arial"/>
          <w:color w:val="2E3037"/>
          <w:szCs w:val="22"/>
          <w:lang w:bidi="ar-SA"/>
        </w:rPr>
      </w:pPr>
      <w:bookmarkStart w:id="272" w:name="_CTVL001578df1bbe7c4482b82c99b9e08a52b07"/>
      <w:r w:rsidRPr="002F200C">
        <w:rPr>
          <w:rFonts w:eastAsia="Calibri" w:cs="Arial"/>
          <w:color w:val="2E3037"/>
          <w:szCs w:val="22"/>
          <w:lang w:bidi="ar-SA"/>
        </w:rPr>
        <w:t>Masuda T, Inaba Y, Takeda Y (2001) Antioxidant Mechanism of Carnosic Acid: Structural Identification of Two Oxidation Products. Journal of Agricultural and Food Chemistry 49:5560–5565. doi: 10.1021/jf010693i</w:t>
      </w:r>
      <w:bookmarkEnd w:id="272"/>
    </w:p>
    <w:p w14:paraId="4FA0CCD5"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McLennan W, Podger A (1998) National Nutrition Survey Nutrient Intakes and Physical Measurements Australia 1995. Australian Bureau of Statistics, Canberra</w:t>
      </w:r>
    </w:p>
    <w:p w14:paraId="66DEF5BF"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(2003) NZ Food NZ Children: Key results of the 2002 National Children's Nutrition Survey. Ministry of Health, Wellington</w:t>
      </w:r>
    </w:p>
    <w:p w14:paraId="12868F95"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(2005) 2002 National Children's Nutrition Survey: National Confidentialised Unit Record File (CURF) User Document. Ministry of Health, Wellington</w:t>
      </w:r>
    </w:p>
    <w:p w14:paraId="4F3F0FE2"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(2011a) Methodology report for the 2008/09 New Zealand Adult Nutrition Survey. Ministry of Health, Wellington</w:t>
      </w:r>
    </w:p>
    <w:p w14:paraId="41513941" w14:textId="77777777" w:rsidR="002F200C" w:rsidRPr="00F35019" w:rsidRDefault="002F200C" w:rsidP="00F35019">
      <w:pPr>
        <w:widowControl/>
        <w:spacing w:after="240"/>
        <w:rPr>
          <w:rFonts w:eastAsia="Calibri" w:cs="Arial"/>
          <w:color w:val="2E3037"/>
          <w:szCs w:val="22"/>
          <w:lang w:bidi="ar-SA"/>
        </w:rPr>
      </w:pPr>
      <w:r w:rsidRPr="00F35019">
        <w:rPr>
          <w:rFonts w:eastAsia="Calibri" w:cs="Arial"/>
          <w:color w:val="2E3037"/>
          <w:szCs w:val="22"/>
          <w:lang w:bidi="ar-SA"/>
        </w:rPr>
        <w:t>Ministry of Health (2011b) A focus on nutrition: Key findings of the 2008/09 New Zealand Adult Nutrition Survey. Ministry of Health, Wellington</w:t>
      </w:r>
    </w:p>
    <w:p w14:paraId="640E3885" w14:textId="543C2110"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Moñino I, Martínez C, Sotomayhr JA, </w:t>
      </w:r>
      <w:r w:rsidR="00F35019">
        <w:rPr>
          <w:rFonts w:eastAsia="Calibri" w:cs="Arial"/>
          <w:color w:val="2E3037"/>
          <w:szCs w:val="22"/>
          <w:lang w:val="en-AU" w:bidi="ar-SA"/>
        </w:rPr>
        <w:t>Lafuente A and Jordán MJ (2008)</w:t>
      </w:r>
      <w:r w:rsidRPr="002F200C">
        <w:rPr>
          <w:rFonts w:eastAsia="Calibri" w:cs="Arial"/>
          <w:color w:val="2E3037"/>
          <w:szCs w:val="22"/>
          <w:lang w:val="en-AU" w:bidi="ar-SA"/>
        </w:rPr>
        <w:t xml:space="preserve"> Polyphenolic transmission to Segureño lamb meat from ewe’s diet supplementated with the distillate from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leaves.Journal of Agricultural and Food Chemistry 56: 3363-3367</w:t>
      </w:r>
    </w:p>
    <w:p w14:paraId="109B3237" w14:textId="6D7C76DB"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Nusier M, Bat</w:t>
      </w:r>
      <w:r w:rsidR="00F35019">
        <w:rPr>
          <w:rFonts w:eastAsia="Calibri" w:cs="Arial"/>
          <w:color w:val="2E3037"/>
          <w:szCs w:val="22"/>
          <w:lang w:val="en-AU" w:bidi="ar-SA"/>
        </w:rPr>
        <w:t>aineh HN and Daradkah HM (2007)</w:t>
      </w:r>
      <w:r w:rsidRPr="002F200C">
        <w:rPr>
          <w:rFonts w:eastAsia="Calibri" w:cs="Arial"/>
          <w:color w:val="2E3037"/>
          <w:szCs w:val="22"/>
          <w:lang w:val="en-AU" w:bidi="ar-SA"/>
        </w:rPr>
        <w:t xml:space="preserve"> Adverse effects of rosemary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on reproductive function in adult male rats. Experimental Biology and Medicine 232: 809-813</w:t>
      </w:r>
    </w:p>
    <w:p w14:paraId="2CE23109" w14:textId="7F51E30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Ortuño </w:t>
      </w:r>
      <w:r w:rsidR="00F35019">
        <w:rPr>
          <w:rFonts w:eastAsia="Calibri" w:cs="Arial"/>
          <w:color w:val="2E3037"/>
          <w:szCs w:val="22"/>
          <w:lang w:val="en-AU" w:bidi="ar-SA"/>
        </w:rPr>
        <w:t>J, Serrano R and Bañón S (2017)</w:t>
      </w:r>
      <w:r w:rsidRPr="002F200C">
        <w:rPr>
          <w:rFonts w:eastAsia="Calibri" w:cs="Arial"/>
          <w:color w:val="2E3037"/>
          <w:szCs w:val="22"/>
          <w:lang w:val="en-AU" w:bidi="ar-SA"/>
        </w:rPr>
        <w:t xml:space="preserve"> Incorporating rosemary diterpenes in lamb diet to improve microbial quality of meat packed in different environments. Animal Science Journal doi:10.1111/asj.12768 </w:t>
      </w:r>
    </w:p>
    <w:p w14:paraId="7C8003ED" w14:textId="77777777" w:rsidR="002F200C" w:rsidRPr="002F200C" w:rsidRDefault="002F200C" w:rsidP="002F200C">
      <w:pPr>
        <w:widowControl/>
        <w:spacing w:after="240"/>
        <w:rPr>
          <w:rFonts w:eastAsia="Calibri" w:cs="Arial"/>
          <w:color w:val="2E3037"/>
          <w:szCs w:val="22"/>
          <w:lang w:bidi="ar-SA"/>
        </w:rPr>
      </w:pPr>
      <w:bookmarkStart w:id="273" w:name="_CTVL001b20bb398981145c193072ec6225946af"/>
      <w:r w:rsidRPr="002F200C">
        <w:rPr>
          <w:rFonts w:eastAsia="Calibri" w:cs="Arial"/>
          <w:color w:val="2E3037"/>
          <w:szCs w:val="22"/>
          <w:lang w:bidi="ar-SA"/>
        </w:rPr>
        <w:t>Razboršek MI, Ivanović M (2016) Stability studies and determination of carnosic acid and its oxidative degradation products by gas chromatography–mass spectrometry. International Journal of Mass Spectrometry 407:29–39. doi: 10.1016/j.ijms.2016.07.002</w:t>
      </w:r>
    </w:p>
    <w:p w14:paraId="56239D3F" w14:textId="77777777" w:rsidR="002F200C" w:rsidRPr="002F200C" w:rsidRDefault="002F200C" w:rsidP="002F200C">
      <w:pPr>
        <w:widowControl/>
        <w:spacing w:after="240"/>
        <w:rPr>
          <w:rFonts w:eastAsia="Calibri" w:cs="Arial"/>
          <w:color w:val="2E3037"/>
          <w:szCs w:val="22"/>
          <w:lang w:bidi="ar-SA"/>
        </w:rPr>
      </w:pPr>
      <w:bookmarkStart w:id="274" w:name="_CTVL0010b667c2ec7bf4b65a23fcdb28cd96ac4"/>
      <w:bookmarkEnd w:id="273"/>
      <w:r w:rsidRPr="002F200C">
        <w:rPr>
          <w:rFonts w:eastAsia="Calibri" w:cs="Arial"/>
          <w:color w:val="2E3037"/>
          <w:szCs w:val="22"/>
          <w:lang w:bidi="ar-SA"/>
        </w:rPr>
        <w:t>Richheimer SL, Bernart MW, King GA, Kent MC, Beiley DT (1996) Antioxidant activity of lipid-soluble phenolic diterpenes from rosemary. Journal of the American Oil Chemists’ Society 73:507–514. doi: 10.1007/BF02523927</w:t>
      </w:r>
      <w:bookmarkEnd w:id="274"/>
    </w:p>
    <w:p w14:paraId="2F54675C" w14:textId="24763B5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Romo Vaquero M, García Villalba R, Larrosa M, Yáñez-Gascón MJ, Fromentin E, Flanagan J, Roller M, Tomás-Barberán FA, Espín </w:t>
      </w:r>
      <w:r w:rsidR="00F35019">
        <w:rPr>
          <w:rFonts w:eastAsia="Calibri" w:cs="Arial"/>
          <w:color w:val="2E3037"/>
          <w:szCs w:val="22"/>
          <w:lang w:val="en-AU" w:bidi="ar-SA"/>
        </w:rPr>
        <w:t>JC and García-Conesa M-T (2013)</w:t>
      </w:r>
      <w:r w:rsidRPr="002F200C">
        <w:rPr>
          <w:rFonts w:eastAsia="Calibri" w:cs="Arial"/>
          <w:color w:val="2E3037"/>
          <w:szCs w:val="22"/>
          <w:lang w:val="en-AU" w:bidi="ar-SA"/>
        </w:rPr>
        <w:t xml:space="preserve"> Bioavailability of the major bioactive diterpenoids in a rosemary extract: Metabolic profile in the intestine, liver, plasma and brain of Zucker rats. Molecular Nutrition and Food Research 57: 1834-1846</w:t>
      </w:r>
    </w:p>
    <w:p w14:paraId="540DF65C" w14:textId="77777777" w:rsidR="002F200C" w:rsidRPr="002F200C" w:rsidRDefault="002F200C" w:rsidP="002F200C">
      <w:pPr>
        <w:widowControl/>
        <w:spacing w:after="240"/>
        <w:rPr>
          <w:rFonts w:eastAsia="Calibri" w:cs="Arial"/>
          <w:color w:val="2E3037"/>
          <w:szCs w:val="22"/>
          <w:lang w:bidi="ar-SA"/>
        </w:rPr>
      </w:pPr>
      <w:bookmarkStart w:id="275" w:name="_CTVL001e1bba786f73d4d819ed3db18a3ac1bc9"/>
      <w:r w:rsidRPr="002F200C">
        <w:rPr>
          <w:rFonts w:eastAsia="Calibri" w:cs="Arial"/>
          <w:color w:val="2E3037"/>
          <w:szCs w:val="22"/>
          <w:lang w:bidi="ar-SA"/>
        </w:rPr>
        <w:t>Schwarz K, Ternes W, Schmauderer E (1992) Antioxidative constituents of Rosmarinus officinalis and Salvia officinalis: Part III. Zeitschrift für Lebensmittel-Untersuchung und Forschung 195:104–107. doi: 10.1007/BF01201767</w:t>
      </w:r>
    </w:p>
    <w:bookmarkEnd w:id="275"/>
    <w:p w14:paraId="36B0FB44"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bidi="ar-SA"/>
        </w:rPr>
        <w:lastRenderedPageBreak/>
        <w:t>Shahidi F, Janitha PK, Wanasundara PD (1992) Phenolic antioxidants. Critical Reviews in Food Science and Nutrition 32:67–103. doi: 10.1080/10408399209527581</w:t>
      </w:r>
    </w:p>
    <w:p w14:paraId="3EA4435C" w14:textId="29BA18C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Singletary KW (1996)</w:t>
      </w:r>
      <w:r w:rsidR="00F35019">
        <w:rPr>
          <w:rFonts w:eastAsia="Calibri" w:cs="Arial"/>
          <w:color w:val="2E3037"/>
          <w:szCs w:val="22"/>
          <w:lang w:val="en-AU" w:bidi="ar-SA"/>
        </w:rPr>
        <w:t xml:space="preserve"> </w:t>
      </w:r>
      <w:r w:rsidRPr="002F200C">
        <w:rPr>
          <w:rFonts w:eastAsia="Calibri" w:cs="Arial"/>
          <w:color w:val="2E3037"/>
          <w:szCs w:val="22"/>
          <w:lang w:val="en-AU" w:bidi="ar-SA"/>
        </w:rPr>
        <w:t xml:space="preserve"> Rosemary extract and carnosol stimulate rat liver glutathione-S-transferase and quinone reductase activities. Cancer Letters 100: 139-144</w:t>
      </w:r>
    </w:p>
    <w:p w14:paraId="3EB8EA3A" w14:textId="485F9A11"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Singletary KW and Rokusek JT (1997) Tissue-specific enhancement of xenobiotic detoxification enzymes in mice by dietary rosemary extract. Plant Foods for Human Nutrition 50: 47-53</w:t>
      </w:r>
    </w:p>
    <w:p w14:paraId="56FE89B0" w14:textId="6C9CF3F5"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Sinkovic A, Suran D, Lokar L, Fliser E, Skerget M, Novak Z and Knez Z (2011) Rosemary extracts improve flow-mediated dilatation of the brachial artery and plasma PAI-1 activity in healthy young volunteers. Phytotherapy Research 25: 402-407</w:t>
      </w:r>
    </w:p>
    <w:p w14:paraId="7DF4FDE0" w14:textId="392F79F9"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Song Y, Yan H, Chen J, </w:t>
      </w:r>
      <w:r w:rsidR="00F35019">
        <w:rPr>
          <w:rFonts w:eastAsia="Calibri" w:cs="Arial"/>
          <w:color w:val="2E3037"/>
          <w:szCs w:val="22"/>
          <w:lang w:val="en-AU" w:bidi="ar-SA"/>
        </w:rPr>
        <w:t xml:space="preserve">Wang Y, Jiang Y and Tu P (2014) </w:t>
      </w:r>
      <w:r w:rsidRPr="002F200C">
        <w:rPr>
          <w:rFonts w:eastAsia="Calibri" w:cs="Arial"/>
          <w:color w:val="2E3037"/>
          <w:szCs w:val="22"/>
          <w:lang w:val="en-AU" w:bidi="ar-SA"/>
        </w:rPr>
        <w:t xml:space="preserve">Characterization of </w:t>
      </w:r>
      <w:r w:rsidRPr="002F200C">
        <w:rPr>
          <w:rFonts w:eastAsia="Calibri" w:cs="Arial"/>
          <w:i/>
          <w:color w:val="2E3037"/>
          <w:szCs w:val="22"/>
          <w:lang w:val="en-AU" w:bidi="ar-SA"/>
        </w:rPr>
        <w:t>in vitro</w:t>
      </w:r>
      <w:r w:rsidRPr="002F200C">
        <w:rPr>
          <w:rFonts w:eastAsia="Calibri" w:cs="Arial"/>
          <w:color w:val="2E3037"/>
          <w:szCs w:val="22"/>
          <w:lang w:val="en-AU" w:bidi="ar-SA"/>
        </w:rPr>
        <w:t xml:space="preserve"> and </w:t>
      </w:r>
      <w:r w:rsidRPr="002F200C">
        <w:rPr>
          <w:rFonts w:eastAsia="Calibri" w:cs="Arial"/>
          <w:i/>
          <w:color w:val="2E3037"/>
          <w:szCs w:val="22"/>
          <w:lang w:val="en-AU" w:bidi="ar-SA"/>
        </w:rPr>
        <w:t>in</w:t>
      </w:r>
      <w:r w:rsidRPr="002F200C">
        <w:rPr>
          <w:rFonts w:eastAsia="Calibri" w:cs="Arial"/>
          <w:color w:val="2E3037"/>
          <w:szCs w:val="22"/>
          <w:lang w:val="en-AU" w:bidi="ar-SA"/>
        </w:rPr>
        <w:t xml:space="preserve"> </w:t>
      </w:r>
      <w:r w:rsidRPr="002F200C">
        <w:rPr>
          <w:rFonts w:eastAsia="Calibri" w:cs="Arial"/>
          <w:i/>
          <w:color w:val="2E3037"/>
          <w:szCs w:val="22"/>
          <w:lang w:val="en-AU" w:bidi="ar-SA"/>
        </w:rPr>
        <w:t>vivo</w:t>
      </w:r>
      <w:r w:rsidRPr="002F200C">
        <w:rPr>
          <w:rFonts w:eastAsia="Calibri" w:cs="Arial"/>
          <w:color w:val="2E3037"/>
          <w:szCs w:val="22"/>
          <w:lang w:val="en-AU" w:bidi="ar-SA"/>
        </w:rPr>
        <w:t xml:space="preserve"> metabolites of carnosic acid, a natural antioxidant, by high performance liquid chromatography coupled with tandem mass spectrometry. Journal of Pharmaceutical and Biomedical Analysis 89: 183-196</w:t>
      </w:r>
    </w:p>
    <w:p w14:paraId="3ABC6B84" w14:textId="25C59A46"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Ulbricht C, Abrams TR, Brigham A, Ceurvels J, Clubb J, Curtiss W, Kirkwood C D, Giese N, Hoehn K, Iovin R, Isaac R, Rusie E, Serrano JMG, Varghese M, Weissner W and Windsor RC (2010) An evidence-based systematic review of rosemary (Rosmarinus officinalis) by the Natural Standard Research Collaboration. Journal of Dietary Supplements 7(4): 351-413</w:t>
      </w:r>
    </w:p>
    <w:p w14:paraId="69758B94"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Wang QL, Li H, Li XX, Cui CY, Wang R, Yu NX and Chen LX (2012) Acute and 30-day oral toxicity studies of administered carnosic acid. Food and Chemical Toxicology 50: 4348-4355</w:t>
      </w:r>
    </w:p>
    <w:p w14:paraId="5D78AACB" w14:textId="68C5F294"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Wang L, Gan C, Wang Z, Liu L, Gao M and Yang C (2017) Determination and pharmacokinetic study of three diterpenes in rat plasma by UHPLC-ESI-MS/MS after oral administration of </w:t>
      </w:r>
      <w:r w:rsidRPr="002F200C">
        <w:rPr>
          <w:rFonts w:eastAsia="Calibri" w:cs="Arial"/>
          <w:i/>
          <w:color w:val="2E3037"/>
          <w:szCs w:val="22"/>
          <w:lang w:val="en-AU" w:bidi="ar-SA"/>
        </w:rPr>
        <w:t>Rosmarinus officinalis</w:t>
      </w:r>
      <w:r w:rsidRPr="002F200C">
        <w:rPr>
          <w:rFonts w:eastAsia="Calibri" w:cs="Arial"/>
          <w:color w:val="2E3037"/>
          <w:szCs w:val="22"/>
          <w:lang w:val="en-AU" w:bidi="ar-SA"/>
        </w:rPr>
        <w:t xml:space="preserve"> L. extract. Molecules 22: 934; doi:10.3390/molecules22060934 </w:t>
      </w:r>
    </w:p>
    <w:p w14:paraId="793D1B83" w14:textId="77777777"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World Health Organisation (WHO) (1985) </w:t>
      </w:r>
      <w:r w:rsidRPr="002F200C">
        <w:rPr>
          <w:rFonts w:eastAsia="Calibri" w:cs="Arial"/>
          <w:i/>
          <w:color w:val="2E3037"/>
          <w:szCs w:val="22"/>
          <w:lang w:val="en-AU" w:bidi="ar-SA"/>
        </w:rPr>
        <w:t>Guidelines for The Study of Dietary exposures to Chemical Contaminants</w:t>
      </w:r>
      <w:r w:rsidRPr="002F200C">
        <w:rPr>
          <w:rFonts w:eastAsia="Calibri" w:cs="Arial"/>
          <w:color w:val="2E3037"/>
          <w:szCs w:val="22"/>
          <w:lang w:val="en-AU" w:bidi="ar-SA"/>
        </w:rPr>
        <w:t>. WHO Offset Publication. Report No. 87, World Health Organisation, Geneva</w:t>
      </w:r>
    </w:p>
    <w:p w14:paraId="7AE7DE48" w14:textId="311FA935" w:rsidR="00F35019"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 xml:space="preserve">World Health Organization (WHO) </w:t>
      </w:r>
      <w:r w:rsidR="00F35019">
        <w:rPr>
          <w:rFonts w:eastAsia="Calibri" w:cs="Arial"/>
          <w:color w:val="2E3037"/>
          <w:szCs w:val="22"/>
          <w:lang w:val="en-AU" w:bidi="ar-SA"/>
        </w:rPr>
        <w:t>(</w:t>
      </w:r>
      <w:r w:rsidRPr="002F200C">
        <w:rPr>
          <w:rFonts w:eastAsia="Calibri" w:cs="Arial"/>
          <w:color w:val="2E3037"/>
          <w:szCs w:val="22"/>
          <w:lang w:val="en-AU" w:bidi="ar-SA"/>
        </w:rPr>
        <w:t>2016</w:t>
      </w:r>
      <w:r w:rsidR="00F35019">
        <w:rPr>
          <w:rFonts w:eastAsia="Calibri" w:cs="Arial"/>
          <w:color w:val="2E3037"/>
          <w:szCs w:val="22"/>
          <w:lang w:val="en-AU" w:bidi="ar-SA"/>
        </w:rPr>
        <w:t>)</w:t>
      </w:r>
      <w:r w:rsidRPr="002F200C">
        <w:rPr>
          <w:rFonts w:eastAsia="Calibri" w:cs="Arial"/>
          <w:color w:val="2E3037"/>
          <w:szCs w:val="22"/>
          <w:lang w:val="en-AU" w:bidi="ar-SA"/>
        </w:rPr>
        <w:t xml:space="preserve"> Residue monograph prepared by the meeting of the Joint FAO/WHO Expert Committee on Food Additives (JECFA), 82</w:t>
      </w:r>
      <w:r w:rsidRPr="002F200C">
        <w:rPr>
          <w:rFonts w:eastAsia="Calibri" w:cs="Arial"/>
          <w:color w:val="2E3037"/>
          <w:szCs w:val="22"/>
          <w:vertAlign w:val="superscript"/>
          <w:lang w:val="en-AU" w:bidi="ar-SA"/>
        </w:rPr>
        <w:t>nd</w:t>
      </w:r>
      <w:r w:rsidRPr="002F200C">
        <w:rPr>
          <w:rFonts w:eastAsia="Calibri" w:cs="Arial"/>
          <w:color w:val="2E3037"/>
          <w:szCs w:val="22"/>
          <w:lang w:val="en-AU" w:bidi="ar-SA"/>
        </w:rPr>
        <w:t xml:space="preserve"> meeting 2016. Rosemary Extract (Tentative). </w:t>
      </w:r>
      <w:hyperlink r:id="rId33" w:history="1">
        <w:r w:rsidRPr="002F200C">
          <w:rPr>
            <w:rFonts w:eastAsia="Calibri" w:cs="Arial"/>
            <w:color w:val="0000FF"/>
            <w:szCs w:val="22"/>
            <w:u w:val="single"/>
            <w:lang w:val="en-AU" w:bidi="ar-SA"/>
          </w:rPr>
          <w:t>http://www.fao.org/3/a-bq700e.pdf</w:t>
        </w:r>
      </w:hyperlink>
      <w:r w:rsidR="00F35019">
        <w:rPr>
          <w:rFonts w:eastAsia="Calibri" w:cs="Arial"/>
          <w:color w:val="2E3037"/>
          <w:szCs w:val="22"/>
          <w:lang w:val="en-AU" w:bidi="ar-SA"/>
        </w:rPr>
        <w:t>. Accessed 2 July 2018</w:t>
      </w:r>
    </w:p>
    <w:p w14:paraId="2819F8EC" w14:textId="26AB2275" w:rsidR="00F35019" w:rsidRPr="00F35019" w:rsidRDefault="002F200C" w:rsidP="002F200C">
      <w:pPr>
        <w:widowControl/>
        <w:spacing w:after="240"/>
        <w:rPr>
          <w:rFonts w:eastAsia="Calibri" w:cs="Arial"/>
          <w:color w:val="2E3037"/>
          <w:szCs w:val="22"/>
          <w:lang w:bidi="ar-SA"/>
        </w:rPr>
      </w:pPr>
      <w:r w:rsidRPr="002F200C">
        <w:rPr>
          <w:rFonts w:eastAsia="Calibri" w:cs="Arial"/>
          <w:color w:val="2E3037"/>
          <w:szCs w:val="22"/>
          <w:lang w:bidi="ar-SA"/>
        </w:rPr>
        <w:t xml:space="preserve">World Health Organisation (WHO) </w:t>
      </w:r>
      <w:r w:rsidR="00F35019">
        <w:rPr>
          <w:rFonts w:eastAsia="Calibri" w:cs="Arial"/>
          <w:color w:val="2E3037"/>
          <w:szCs w:val="22"/>
          <w:lang w:bidi="ar-SA"/>
        </w:rPr>
        <w:t>(</w:t>
      </w:r>
      <w:r w:rsidRPr="002F200C">
        <w:rPr>
          <w:rFonts w:eastAsia="Calibri" w:cs="Arial"/>
          <w:color w:val="2E3037"/>
          <w:szCs w:val="22"/>
          <w:lang w:bidi="ar-SA"/>
        </w:rPr>
        <w:t>2016</w:t>
      </w:r>
      <w:r w:rsidR="00F35019">
        <w:rPr>
          <w:rFonts w:eastAsia="Calibri" w:cs="Arial"/>
          <w:color w:val="2E3037"/>
          <w:szCs w:val="22"/>
          <w:lang w:bidi="ar-SA"/>
        </w:rPr>
        <w:t>)</w:t>
      </w:r>
      <w:r w:rsidRPr="002F200C">
        <w:rPr>
          <w:rFonts w:eastAsia="Calibri" w:cs="Arial"/>
          <w:color w:val="2E3037"/>
          <w:szCs w:val="22"/>
          <w:lang w:bidi="ar-SA"/>
        </w:rPr>
        <w:t xml:space="preserve"> 82nd Joint FAO/WHO Expert Committee on Food Additives (JECFA) mee</w:t>
      </w:r>
      <w:r w:rsidR="00F35019">
        <w:rPr>
          <w:rFonts w:eastAsia="Calibri" w:cs="Arial"/>
          <w:color w:val="2E3037"/>
          <w:szCs w:val="22"/>
          <w:lang w:bidi="ar-SA"/>
        </w:rPr>
        <w:t>ting – Summary and conclusions.</w:t>
      </w:r>
      <w:r w:rsidRPr="002F200C">
        <w:rPr>
          <w:rFonts w:eastAsia="Calibri" w:cs="Arial"/>
          <w:color w:val="2E3037"/>
          <w:szCs w:val="22"/>
          <w:lang w:bidi="ar-SA"/>
        </w:rPr>
        <w:t xml:space="preserve"> Geneva. </w:t>
      </w:r>
      <w:hyperlink r:id="rId34" w:history="1">
        <w:r w:rsidRPr="002F200C">
          <w:rPr>
            <w:rFonts w:eastAsia="Calibri" w:cs="Arial"/>
            <w:color w:val="0000FF"/>
            <w:szCs w:val="22"/>
            <w:u w:val="single"/>
            <w:lang w:bidi="ar-SA"/>
          </w:rPr>
          <w:t>http://www.fao.org/3/a-bl839e.pdf</w:t>
        </w:r>
      </w:hyperlink>
      <w:r w:rsidR="00F35019">
        <w:rPr>
          <w:rFonts w:eastAsia="Calibri" w:cs="Arial"/>
          <w:color w:val="2E3037"/>
          <w:szCs w:val="22"/>
          <w:lang w:bidi="ar-SA"/>
        </w:rPr>
        <w:t>. Accessed 2 July 2018</w:t>
      </w:r>
    </w:p>
    <w:p w14:paraId="1838E778" w14:textId="0E55B1EE" w:rsidR="002F200C" w:rsidRPr="002F200C" w:rsidRDefault="002F200C" w:rsidP="002F200C">
      <w:pPr>
        <w:widowControl/>
        <w:spacing w:after="240"/>
        <w:rPr>
          <w:rFonts w:eastAsia="Calibri" w:cs="Arial"/>
          <w:color w:val="2E3037"/>
          <w:szCs w:val="22"/>
          <w:lang w:val="en-AU" w:bidi="ar-SA"/>
        </w:rPr>
      </w:pPr>
      <w:r w:rsidRPr="002F200C">
        <w:rPr>
          <w:rFonts w:eastAsia="Calibri" w:cs="Arial"/>
          <w:color w:val="2E3037"/>
          <w:szCs w:val="22"/>
          <w:lang w:val="en-AU" w:bidi="ar-SA"/>
        </w:rPr>
        <w:t>World</w:t>
      </w:r>
      <w:r w:rsidR="00F35019">
        <w:rPr>
          <w:rFonts w:eastAsia="Calibri" w:cs="Arial"/>
          <w:color w:val="2E3037"/>
          <w:szCs w:val="22"/>
          <w:lang w:val="en-AU" w:bidi="ar-SA"/>
        </w:rPr>
        <w:t xml:space="preserve"> Health Organisation (WHO) (2017)</w:t>
      </w:r>
      <w:r w:rsidRPr="002F200C">
        <w:rPr>
          <w:rFonts w:eastAsia="Calibri" w:cs="Arial"/>
          <w:color w:val="2E3037"/>
          <w:szCs w:val="22"/>
          <w:lang w:val="en-AU" w:bidi="ar-SA"/>
        </w:rPr>
        <w:t xml:space="preserve"> Safety evaluation of certain food additives. WHO Food Additive Series: 73. Prepared by the eighty-second meeting of the Joint FAO/WHO Expert Committee on Food Additives (JECFA). Wo</w:t>
      </w:r>
      <w:r w:rsidR="00F35019">
        <w:rPr>
          <w:rFonts w:eastAsia="Calibri" w:cs="Arial"/>
          <w:color w:val="2E3037"/>
          <w:szCs w:val="22"/>
          <w:lang w:val="en-AU" w:bidi="ar-SA"/>
        </w:rPr>
        <w:t xml:space="preserve">rld Health Organization, Geneva. Accessed 2 July 2018. </w:t>
      </w:r>
      <w:hyperlink r:id="rId35" w:history="1">
        <w:r w:rsidRPr="002F200C">
          <w:rPr>
            <w:rFonts w:eastAsia="Calibri" w:cs="Arial"/>
            <w:color w:val="0000FF"/>
            <w:szCs w:val="22"/>
            <w:u w:val="single"/>
            <w:lang w:val="en-AU" w:bidi="ar-SA"/>
          </w:rPr>
          <w:t>http://apps.who.int/iris/bitstream/handle/10665/258934/9789241660730-eng.pdf;jsessionid=E4358413CD4C48874006A7E8CD2B15E1?sequence=1</w:t>
        </w:r>
      </w:hyperlink>
      <w:r w:rsidRPr="002F200C">
        <w:rPr>
          <w:rFonts w:eastAsia="Calibri" w:cs="Arial"/>
          <w:color w:val="2E3037"/>
          <w:szCs w:val="22"/>
          <w:lang w:val="en-AU" w:bidi="ar-SA"/>
        </w:rPr>
        <w:t xml:space="preserve"> </w:t>
      </w:r>
    </w:p>
    <w:p w14:paraId="36BA68F6" w14:textId="604FA735" w:rsidR="002F200C" w:rsidRDefault="002F200C" w:rsidP="00B634EC">
      <w:pPr>
        <w:widowControl/>
        <w:spacing w:after="240"/>
        <w:rPr>
          <w:sz w:val="36"/>
          <w:szCs w:val="28"/>
          <w:lang w:bidi="ar-SA"/>
        </w:rPr>
      </w:pPr>
      <w:r w:rsidRPr="002F200C">
        <w:rPr>
          <w:rFonts w:eastAsia="Calibri" w:cs="Arial"/>
          <w:color w:val="2E3037"/>
          <w:szCs w:val="22"/>
          <w:lang w:val="en-AU" w:bidi="ar-SA"/>
        </w:rPr>
        <w:t>Yan H, Wang L, Li X, Yu C, Zhang K, Jiang Y, Wu L, Lu W and Tu P (2009) High-performance liquid chromatography method for determination of carnosic acid in rat plasma and its applications to pharmacokinetic study. Biomedical Chromatography 23: 776-781</w:t>
      </w:r>
      <w:r w:rsidR="00B634EC">
        <w:rPr>
          <w:rFonts w:eastAsia="Calibri" w:cs="Arial"/>
          <w:color w:val="2E3037"/>
          <w:szCs w:val="22"/>
          <w:lang w:val="en-AU" w:bidi="ar-SA"/>
        </w:rPr>
        <w:t>.</w:t>
      </w:r>
      <w:r>
        <w:br w:type="page"/>
      </w:r>
    </w:p>
    <w:p w14:paraId="21423F62" w14:textId="6DE23CA6" w:rsidR="007E2272" w:rsidRDefault="007E2272" w:rsidP="007E2272">
      <w:pPr>
        <w:pStyle w:val="Heading1"/>
      </w:pPr>
      <w:bookmarkStart w:id="276" w:name="_Toc518388308"/>
      <w:bookmarkStart w:id="277" w:name="_Toc526498397"/>
      <w:r>
        <w:lastRenderedPageBreak/>
        <w:t>Appendix 1: Dietary Exposure Assessments at FSANZ</w:t>
      </w:r>
      <w:bookmarkEnd w:id="265"/>
      <w:bookmarkEnd w:id="276"/>
      <w:bookmarkEnd w:id="277"/>
    </w:p>
    <w:p w14:paraId="3721CB3E" w14:textId="0D7AEC99" w:rsidR="007E2272" w:rsidRDefault="007E2272" w:rsidP="007E2272">
      <w:pPr>
        <w:rPr>
          <w:lang w:eastAsia="en-GB"/>
        </w:rPr>
      </w:pPr>
      <w:r w:rsidRPr="001C66A9">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w:t>
      </w:r>
      <w:r w:rsidR="00B634EC">
        <w:rPr>
          <w:lang w:eastAsia="en-GB"/>
        </w:rPr>
        <w:t>s is called ‘dietary modelling’, where:</w:t>
      </w:r>
    </w:p>
    <w:p w14:paraId="5574D1D0" w14:textId="77777777" w:rsidR="00B634EC" w:rsidRPr="001C66A9" w:rsidRDefault="00B634EC" w:rsidP="00B634EC">
      <w:pPr>
        <w:jc w:val="center"/>
        <w:rPr>
          <w:lang w:eastAsia="en-GB"/>
        </w:rPr>
      </w:pPr>
    </w:p>
    <w:p w14:paraId="267ECF22" w14:textId="77777777" w:rsidR="007E2272" w:rsidRDefault="007E2272" w:rsidP="00B634EC">
      <w:pPr>
        <w:jc w:val="center"/>
        <w:rPr>
          <w:i/>
          <w:lang w:eastAsia="en-GB"/>
        </w:rPr>
      </w:pPr>
      <w:r w:rsidRPr="001C66A9">
        <w:rPr>
          <w:i/>
          <w:lang w:eastAsia="en-GB"/>
        </w:rPr>
        <w:t>Dietary exposure = food chemical concentration x food consumption</w:t>
      </w:r>
    </w:p>
    <w:p w14:paraId="3E0D97F8" w14:textId="77777777" w:rsidR="00B634EC" w:rsidRPr="001C66A9" w:rsidRDefault="00B634EC" w:rsidP="007E2272">
      <w:pPr>
        <w:rPr>
          <w:i/>
          <w:lang w:eastAsia="en-GB"/>
        </w:rPr>
      </w:pPr>
    </w:p>
    <w:p w14:paraId="69DD1B5F" w14:textId="77777777" w:rsidR="007E2272" w:rsidRDefault="007E2272" w:rsidP="007E2272">
      <w:pPr>
        <w:rPr>
          <w:lang w:eastAsia="en-GB"/>
        </w:rPr>
      </w:pPr>
      <w:r w:rsidRPr="001C66A9">
        <w:rPr>
          <w:lang w:eastAsia="en-GB"/>
        </w:rPr>
        <w:t xml:space="preserve">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w:t>
      </w:r>
      <w:r>
        <w:rPr>
          <w:lang w:eastAsia="en-GB"/>
        </w:rPr>
        <w:t>exposure</w:t>
      </w:r>
      <w:r w:rsidRPr="001C66A9">
        <w:rPr>
          <w:lang w:eastAsia="en-GB"/>
        </w:rPr>
        <w:t xml:space="preserve">. Population summary statistics such as the mean </w:t>
      </w:r>
      <w:r>
        <w:rPr>
          <w:lang w:eastAsia="en-GB"/>
        </w:rPr>
        <w:t>exposure</w:t>
      </w:r>
      <w:r w:rsidRPr="001C66A9">
        <w:rPr>
          <w:lang w:eastAsia="en-GB"/>
        </w:rPr>
        <w:t xml:space="preserve"> or a high percentile </w:t>
      </w:r>
      <w:r>
        <w:rPr>
          <w:lang w:eastAsia="en-GB"/>
        </w:rPr>
        <w:t>exposure</w:t>
      </w:r>
      <w:r w:rsidRPr="001C66A9">
        <w:rPr>
          <w:lang w:eastAsia="en-GB"/>
        </w:rPr>
        <w:t xml:space="preserve"> are derived from the ranked individual person’s </w:t>
      </w:r>
      <w:r>
        <w:rPr>
          <w:lang w:eastAsia="en-GB"/>
        </w:rPr>
        <w:t>exposure</w:t>
      </w:r>
      <w:r w:rsidRPr="001C66A9">
        <w:rPr>
          <w:lang w:eastAsia="en-GB"/>
        </w:rPr>
        <w:t>s from the nutrition survey.</w:t>
      </w:r>
    </w:p>
    <w:p w14:paraId="79B9A4A3" w14:textId="77777777" w:rsidR="00B634EC" w:rsidRPr="001C66A9" w:rsidRDefault="00B634EC" w:rsidP="007E2272">
      <w:pPr>
        <w:rPr>
          <w:lang w:eastAsia="en-GB"/>
        </w:rPr>
      </w:pPr>
    </w:p>
    <w:p w14:paraId="62700B6A" w14:textId="0897BF9F" w:rsidR="007E2272" w:rsidRDefault="007E2272" w:rsidP="007E2272">
      <w:r w:rsidRPr="001C66A9">
        <w:t>An overview of how dietary e</w:t>
      </w:r>
      <w:r>
        <w:t>xposure</w:t>
      </w:r>
      <w:r w:rsidRPr="001C66A9">
        <w:t xml:space="preserve"> assessments are conducted and their place in the FSANZ Risk Analysis Process is provided on the FSANZ website at:</w:t>
      </w:r>
      <w:r>
        <w:t xml:space="preserve"> </w:t>
      </w:r>
      <w:hyperlink r:id="rId36" w:history="1">
        <w:r w:rsidRPr="001C66A9">
          <w:rPr>
            <w:rStyle w:val="Hyperlink"/>
          </w:rPr>
          <w:t>http://www.foodstandards.gov.au/science/riskanalysis/Pages/default.aspx</w:t>
        </w:r>
      </w:hyperlink>
      <w:r w:rsidRPr="001C66A9">
        <w:t xml:space="preserve"> </w:t>
      </w:r>
    </w:p>
    <w:p w14:paraId="2CAEF39A" w14:textId="77777777" w:rsidR="00B634EC" w:rsidRPr="001C66A9" w:rsidRDefault="00B634EC" w:rsidP="007E2272"/>
    <w:p w14:paraId="7F72BDAB" w14:textId="77777777" w:rsidR="007E2272" w:rsidRPr="001C66A9" w:rsidRDefault="007E2272" w:rsidP="007E2272">
      <w:r w:rsidRPr="001C66A9">
        <w:rPr>
          <w:lang w:eastAsia="en-GB"/>
        </w:rPr>
        <w:t xml:space="preserve">FSANZ has developed a custom-built computer program ‘Harvest’ to calculate dietary exposures. Harvest replaces the program ‘DIAMOND’ that </w:t>
      </w:r>
      <w:r>
        <w:rPr>
          <w:lang w:eastAsia="en-GB"/>
        </w:rPr>
        <w:t>had</w:t>
      </w:r>
      <w:r w:rsidRPr="001C66A9">
        <w:rPr>
          <w:lang w:eastAsia="en-GB"/>
        </w:rPr>
        <w:t xml:space="preserve"> been used by FSANZ for many years. Harvest has been designed to replicate the calculations that occurred within DIAMOND using a different software package.</w:t>
      </w:r>
    </w:p>
    <w:p w14:paraId="09641C0D" w14:textId="77777777" w:rsidR="00B634EC" w:rsidRPr="001C66A9" w:rsidRDefault="00B634EC" w:rsidP="007E2272"/>
    <w:p w14:paraId="6FE332FE" w14:textId="74168855" w:rsidR="007E2272" w:rsidRPr="001C66A9" w:rsidRDefault="007E2272" w:rsidP="007E2272">
      <w:r w:rsidRPr="001C66A9">
        <w:t xml:space="preserve">Further detailed information on conducting dietary exposure assessments at FSANZ is provided in </w:t>
      </w:r>
      <w:r w:rsidRPr="001C66A9">
        <w:rPr>
          <w:i/>
        </w:rPr>
        <w:t xml:space="preserve">Principles and Practices of Dietary Exposure Assessment for Food Regulatory Purposes </w:t>
      </w:r>
      <w:r w:rsidRPr="001C66A9">
        <w:t xml:space="preserve">(FSANZ 2009), available at: </w:t>
      </w:r>
      <w:hyperlink r:id="rId37" w:history="1">
        <w:r w:rsidRPr="001C66A9">
          <w:rPr>
            <w:rStyle w:val="Hyperlink"/>
          </w:rPr>
          <w:t>http://www.foodstandards.gov.au/science/exposure/documents/Principles%20_%20practices%20exposure%20assessment%202009.pdf</w:t>
        </w:r>
      </w:hyperlink>
      <w:r w:rsidR="004273D8">
        <w:t>.</w:t>
      </w:r>
    </w:p>
    <w:p w14:paraId="49822FAD" w14:textId="77777777" w:rsidR="001C480C" w:rsidRDefault="001C480C" w:rsidP="004273D8">
      <w:bookmarkStart w:id="278" w:name="_Toc256582725"/>
      <w:bookmarkStart w:id="279" w:name="_Toc360028638"/>
      <w:bookmarkStart w:id="280" w:name="_Toc415041937"/>
      <w:bookmarkStart w:id="281" w:name="_Toc494292566"/>
      <w:bookmarkStart w:id="282" w:name="_Toc508119311"/>
      <w:bookmarkStart w:id="283" w:name="_Toc516668856"/>
      <w:bookmarkStart w:id="284" w:name="_Toc517709909"/>
      <w:bookmarkStart w:id="285" w:name="_Toc518388309"/>
    </w:p>
    <w:p w14:paraId="7A282D6F" w14:textId="6D113DF1" w:rsidR="007E2272" w:rsidRPr="001C66A9" w:rsidRDefault="007E2272" w:rsidP="00DF662D">
      <w:pPr>
        <w:pStyle w:val="Heading2"/>
      </w:pPr>
      <w:bookmarkStart w:id="286" w:name="_Toc526498398"/>
      <w:r w:rsidRPr="001C66A9">
        <w:t>A1.1</w:t>
      </w:r>
      <w:r w:rsidRPr="001C66A9">
        <w:tab/>
        <w:t>Food consumption data used</w:t>
      </w:r>
      <w:bookmarkEnd w:id="278"/>
      <w:bookmarkEnd w:id="279"/>
      <w:bookmarkEnd w:id="280"/>
      <w:bookmarkEnd w:id="281"/>
      <w:bookmarkEnd w:id="282"/>
      <w:bookmarkEnd w:id="283"/>
      <w:bookmarkEnd w:id="284"/>
      <w:bookmarkEnd w:id="285"/>
      <w:bookmarkEnd w:id="286"/>
    </w:p>
    <w:p w14:paraId="72640291" w14:textId="184FA6C7" w:rsidR="007E2272" w:rsidRPr="00BC485A" w:rsidRDefault="007E2272" w:rsidP="007E2272">
      <w:r w:rsidRPr="00BC485A">
        <w:t xml:space="preserve">The most recent food consumption data available were used to estimate </w:t>
      </w:r>
      <w:r w:rsidR="0048026B">
        <w:t>carnosic acid plus carnosol</w:t>
      </w:r>
      <w:r>
        <w:t xml:space="preserve"> dietary exposures </w:t>
      </w:r>
      <w:r w:rsidRPr="00BC485A">
        <w:t>for the Australian and New Zealand populations. The national nutrition survey data used for these assessments were:</w:t>
      </w:r>
    </w:p>
    <w:p w14:paraId="01C36FA3" w14:textId="77777777" w:rsidR="007E2272" w:rsidRPr="00BC485A" w:rsidRDefault="007E2272" w:rsidP="007E2272">
      <w:pPr>
        <w:pStyle w:val="FSBullet1"/>
      </w:pPr>
      <w:r w:rsidRPr="00BC485A">
        <w:t>The 2011-12 Australian National Nutrition and Physical Activity Survey (2011</w:t>
      </w:r>
      <w:r>
        <w:t>-12</w:t>
      </w:r>
      <w:r w:rsidRPr="00BC485A">
        <w:t> NNPAS)</w:t>
      </w:r>
    </w:p>
    <w:p w14:paraId="419E768A" w14:textId="77777777" w:rsidR="007E2272" w:rsidRPr="00BC485A" w:rsidRDefault="007E2272" w:rsidP="007E2272">
      <w:pPr>
        <w:pStyle w:val="FSBullet1"/>
      </w:pPr>
      <w:r w:rsidRPr="00BC485A">
        <w:t>The 2002 New Zealand National Children’s Nutrition Survey (2002 NZ</w:t>
      </w:r>
      <w:r>
        <w:t xml:space="preserve"> C</w:t>
      </w:r>
      <w:r w:rsidRPr="00BC485A">
        <w:t>NS)</w:t>
      </w:r>
    </w:p>
    <w:p w14:paraId="77365A0F" w14:textId="77777777" w:rsidR="007E2272" w:rsidRPr="00BC485A" w:rsidRDefault="007E2272" w:rsidP="007E2272">
      <w:pPr>
        <w:pStyle w:val="FSBullet1"/>
      </w:pPr>
      <w:r w:rsidRPr="00BC485A">
        <w:t>The 2008-09 New Zealand Adult Nutrition Survey (2008 NZ</w:t>
      </w:r>
      <w:r>
        <w:t xml:space="preserve"> </w:t>
      </w:r>
      <w:r w:rsidRPr="00BC485A">
        <w:t>ANS).</w:t>
      </w:r>
    </w:p>
    <w:p w14:paraId="7B29DEB1" w14:textId="77777777" w:rsidR="007E2272" w:rsidRPr="00BC485A" w:rsidRDefault="007E2272" w:rsidP="007E2272"/>
    <w:p w14:paraId="10512636" w14:textId="2B171D23" w:rsidR="007E2272" w:rsidRDefault="007E2272" w:rsidP="007E2272">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38" w:history="1">
        <w:r w:rsidRPr="00BC485A">
          <w:rPr>
            <w:color w:val="3333FF"/>
            <w:u w:val="single"/>
            <w:lang w:eastAsia="en-AU"/>
          </w:rPr>
          <w:t>http://www.foodstandards.gov.au/science/exposure/Pages/dietaryexposureandin4438.aspx</w:t>
        </w:r>
      </w:hyperlink>
      <w:r w:rsidRPr="00BC485A">
        <w:rPr>
          <w:lang w:eastAsia="en-AU"/>
        </w:rPr>
        <w:t>.</w:t>
      </w:r>
    </w:p>
    <w:p w14:paraId="05D1D125" w14:textId="3877AF51" w:rsidR="00B634EC" w:rsidRDefault="00B634EC" w:rsidP="007E2272">
      <w:pPr>
        <w:rPr>
          <w:i/>
          <w:highlight w:val="yellow"/>
        </w:rPr>
      </w:pPr>
    </w:p>
    <w:p w14:paraId="628D9103" w14:textId="44B43988" w:rsidR="001C480C" w:rsidRDefault="001C480C" w:rsidP="007E2272">
      <w:pPr>
        <w:rPr>
          <w:i/>
          <w:highlight w:val="yellow"/>
        </w:rPr>
      </w:pPr>
    </w:p>
    <w:p w14:paraId="510FDE7D" w14:textId="296C70B1" w:rsidR="001C480C" w:rsidRDefault="001C480C" w:rsidP="007E2272">
      <w:pPr>
        <w:rPr>
          <w:i/>
          <w:highlight w:val="yellow"/>
        </w:rPr>
      </w:pPr>
    </w:p>
    <w:p w14:paraId="1433AD7A" w14:textId="61799150" w:rsidR="00B634EC" w:rsidRDefault="007E2272" w:rsidP="005137FA">
      <w:pPr>
        <w:pStyle w:val="Heading3"/>
      </w:pPr>
      <w:bookmarkStart w:id="287" w:name="_Toc415041938"/>
      <w:bookmarkStart w:id="288" w:name="_Toc494292567"/>
      <w:bookmarkStart w:id="289" w:name="_Toc526498399"/>
      <w:bookmarkStart w:id="290" w:name="_Toc508119312"/>
      <w:bookmarkStart w:id="291" w:name="_Toc516668857"/>
      <w:bookmarkStart w:id="292" w:name="_Toc517709910"/>
      <w:bookmarkStart w:id="293" w:name="_Toc518388310"/>
      <w:r w:rsidRPr="0033168F">
        <w:lastRenderedPageBreak/>
        <w:t>A1.1.1</w:t>
      </w:r>
      <w:bookmarkEnd w:id="287"/>
      <w:bookmarkEnd w:id="288"/>
      <w:r w:rsidRPr="0033168F">
        <w:tab/>
        <w:t xml:space="preserve">2011–12 Australian National Nutrition and Physical Activity Survey (2011-12 </w:t>
      </w:r>
      <w:r w:rsidR="00B634EC">
        <w:t>NNPAS)</w:t>
      </w:r>
      <w:bookmarkEnd w:id="289"/>
    </w:p>
    <w:bookmarkEnd w:id="290"/>
    <w:bookmarkEnd w:id="291"/>
    <w:bookmarkEnd w:id="292"/>
    <w:bookmarkEnd w:id="293"/>
    <w:p w14:paraId="1D92DC37" w14:textId="6E36E3D9" w:rsidR="007E2272" w:rsidRPr="0033168F" w:rsidRDefault="007E2272" w:rsidP="007E2272">
      <w:pPr>
        <w:keepLines/>
      </w:pPr>
      <w:r w:rsidRPr="0033168F">
        <w:t xml:space="preserve">The 2011–12 Australian National Nutrition and Physical Activity Survey (2011-12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w:t>
      </w:r>
      <w:r w:rsidR="00FD1B06">
        <w:t xml:space="preserve">(n=7,735) </w:t>
      </w:r>
      <w:r w:rsidRPr="0033168F">
        <w:t xml:space="preserve">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w:t>
      </w:r>
      <w:r w:rsidR="0048026B">
        <w:t>carnosic acid plus carnosol</w:t>
      </w:r>
      <w:r w:rsidRPr="0033168F">
        <w:t xml:space="preserve"> 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 </w:t>
      </w:r>
      <w:r w:rsidR="0048026B">
        <w:t>carnosic acid plus carnosol</w:t>
      </w:r>
      <w:r w:rsidRPr="0033168F">
        <w:t xml:space="preserve"> 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2616FAFB" w14:textId="51F26762" w:rsidR="007E2272" w:rsidRPr="00BC485A" w:rsidRDefault="007E2272" w:rsidP="005137FA">
      <w:pPr>
        <w:pStyle w:val="Heading3"/>
      </w:pPr>
      <w:bookmarkStart w:id="294" w:name="_Toc434566820"/>
      <w:bookmarkStart w:id="295" w:name="_Toc508119313"/>
      <w:bookmarkStart w:id="296" w:name="_Toc516668858"/>
      <w:bookmarkStart w:id="297" w:name="_Toc517709911"/>
      <w:bookmarkStart w:id="298" w:name="_Toc518388311"/>
      <w:bookmarkStart w:id="299" w:name="_Toc526498400"/>
      <w:r>
        <w:t>A1.1.2</w:t>
      </w:r>
      <w:r>
        <w:tab/>
      </w:r>
      <w:r w:rsidRPr="00BC485A">
        <w:t>2002 New Zealand National Children’s Nutrition Survey (2002 NZ</w:t>
      </w:r>
      <w:r>
        <w:t xml:space="preserve"> C</w:t>
      </w:r>
      <w:r w:rsidRPr="00BC485A">
        <w:t>NS)</w:t>
      </w:r>
      <w:bookmarkEnd w:id="294"/>
      <w:bookmarkEnd w:id="295"/>
      <w:bookmarkEnd w:id="296"/>
      <w:bookmarkEnd w:id="297"/>
      <w:bookmarkEnd w:id="298"/>
      <w:bookmarkEnd w:id="299"/>
    </w:p>
    <w:p w14:paraId="5AA73038" w14:textId="77777777" w:rsidR="007E2272" w:rsidRPr="00BC485A" w:rsidRDefault="007E2272" w:rsidP="007E2272">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5AF1C7A8" w14:textId="37867DA1" w:rsidR="007E2272" w:rsidRPr="00444BC0" w:rsidRDefault="007E2272" w:rsidP="005137FA">
      <w:pPr>
        <w:pStyle w:val="Heading3"/>
        <w:rPr>
          <w:rFonts w:eastAsia="Calibri"/>
        </w:rPr>
      </w:pPr>
      <w:bookmarkStart w:id="300" w:name="_Toc434566821"/>
      <w:bookmarkStart w:id="301" w:name="_Toc508119314"/>
      <w:bookmarkStart w:id="302" w:name="_Toc516668859"/>
      <w:bookmarkStart w:id="303" w:name="_Toc517709912"/>
      <w:bookmarkStart w:id="304" w:name="_Toc518388312"/>
      <w:bookmarkStart w:id="305" w:name="_Toc526498401"/>
      <w:r>
        <w:rPr>
          <w:rFonts w:eastAsia="Calibri"/>
        </w:rPr>
        <w:t>A1.1.3</w:t>
      </w:r>
      <w:r>
        <w:rPr>
          <w:rFonts w:eastAsia="Calibri"/>
        </w:rPr>
        <w:tab/>
      </w:r>
      <w:r w:rsidRPr="00444BC0">
        <w:rPr>
          <w:rFonts w:eastAsia="Calibri"/>
        </w:rPr>
        <w:t>2008-09 New Zealand Adult Nutrition Survey (2008 NZ ANS)</w:t>
      </w:r>
      <w:bookmarkEnd w:id="300"/>
      <w:bookmarkEnd w:id="301"/>
      <w:bookmarkEnd w:id="302"/>
      <w:bookmarkEnd w:id="303"/>
      <w:bookmarkEnd w:id="304"/>
      <w:bookmarkEnd w:id="305"/>
    </w:p>
    <w:p w14:paraId="088566C7" w14:textId="2A236789" w:rsidR="007E2272" w:rsidRDefault="007E2272" w:rsidP="007E2272">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the dietary patterns of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306" w:name="_Toc360028639"/>
      <w:bookmarkEnd w:id="306"/>
    </w:p>
    <w:p w14:paraId="00C4A59B" w14:textId="191804FA" w:rsidR="007E2272" w:rsidRPr="00D9398F" w:rsidRDefault="00CF3931" w:rsidP="00DF662D">
      <w:pPr>
        <w:pStyle w:val="Heading2"/>
      </w:pPr>
      <w:bookmarkStart w:id="307" w:name="_Toc247509506"/>
      <w:bookmarkStart w:id="308" w:name="_Toc256582727"/>
      <w:bookmarkStart w:id="309" w:name="_Toc360028640"/>
      <w:bookmarkStart w:id="310" w:name="_Toc415041943"/>
      <w:bookmarkStart w:id="311" w:name="_Toc494292570"/>
      <w:bookmarkStart w:id="312" w:name="_Toc508119315"/>
      <w:bookmarkStart w:id="313" w:name="_Toc516668860"/>
      <w:bookmarkStart w:id="314" w:name="_Toc517709913"/>
      <w:bookmarkStart w:id="315" w:name="_Toc518388313"/>
      <w:bookmarkStart w:id="316" w:name="_Toc526498402"/>
      <w:r>
        <w:t>A1.2</w:t>
      </w:r>
      <w:r>
        <w:tab/>
      </w:r>
      <w:r>
        <w:tab/>
      </w:r>
      <w:r w:rsidR="007E2272" w:rsidRPr="00D9398F">
        <w:t xml:space="preserve">Limitations of dietary </w:t>
      </w:r>
      <w:r w:rsidR="007E2272" w:rsidRPr="00CF3931">
        <w:t>exposure</w:t>
      </w:r>
      <w:r w:rsidR="007E2272" w:rsidRPr="00D9398F">
        <w:t xml:space="preserve"> assessments</w:t>
      </w:r>
      <w:bookmarkEnd w:id="307"/>
      <w:bookmarkEnd w:id="308"/>
      <w:bookmarkEnd w:id="309"/>
      <w:bookmarkEnd w:id="310"/>
      <w:bookmarkEnd w:id="311"/>
      <w:bookmarkEnd w:id="312"/>
      <w:bookmarkEnd w:id="313"/>
      <w:bookmarkEnd w:id="314"/>
      <w:bookmarkEnd w:id="315"/>
      <w:bookmarkEnd w:id="316"/>
    </w:p>
    <w:p w14:paraId="4841F4E0" w14:textId="51C37BD6" w:rsidR="002F200C" w:rsidRDefault="007E2272" w:rsidP="00690206">
      <w:r w:rsidRPr="00BC485A">
        <w:t>Dietary exposure assessments based on 2011</w:t>
      </w:r>
      <w:r>
        <w:t>-12</w:t>
      </w:r>
      <w:r w:rsidRPr="00BC485A">
        <w:t> NNPAS, 2002 NZ</w:t>
      </w:r>
      <w:r>
        <w:t xml:space="preserve"> C</w:t>
      </w:r>
      <w:r w:rsidRPr="00BC485A">
        <w:t>NS and 2008 NZ</w:t>
      </w:r>
      <w:r>
        <w:t xml:space="preserve"> </w:t>
      </w:r>
      <w:r w:rsidRPr="00BC485A">
        <w:t>ANS food consumption data provide the best estimation of actual consumption of a food and the resulting estimated dietary exposure assessment for t</w:t>
      </w:r>
      <w:r>
        <w:t>he Australian population aged 2 </w:t>
      </w:r>
      <w:r w:rsidRPr="00BC485A">
        <w:t>years and above, as well as the New Zealand populations aged 5–14 yea</w:t>
      </w:r>
      <w:r>
        <w:t>rs and 15 </w:t>
      </w:r>
      <w:r w:rsidRPr="00BC485A">
        <w:t xml:space="preserve">years and above, respectively. However, it should be noted that NNS data do have limitations. Further details of the limitations relating to dietary exposure assessments undertaken by FSANZ are set out in the FSANZ document, </w:t>
      </w:r>
      <w:r w:rsidRPr="00BC485A">
        <w:rPr>
          <w:i/>
        </w:rPr>
        <w:t>Principles and Practices of Dietary Exposure Assessment for Food Regulatory Purposes</w:t>
      </w:r>
      <w:r w:rsidRPr="00BC485A">
        <w:t xml:space="preserve"> (FSANZ 2009)</w:t>
      </w:r>
      <w:r>
        <w:t>.</w:t>
      </w:r>
    </w:p>
    <w:p w14:paraId="23D296E0" w14:textId="1C480F81" w:rsidR="002F200C" w:rsidRPr="00E203C2" w:rsidRDefault="002F200C" w:rsidP="002F200C">
      <w:pPr>
        <w:pStyle w:val="CitaviBibliographyEntry"/>
      </w:pPr>
    </w:p>
    <w:sectPr w:rsidR="002F200C" w:rsidRPr="00E203C2" w:rsidSect="00FC71A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F8648" w14:textId="77777777" w:rsidR="00F93B26" w:rsidRDefault="00F93B26">
      <w:r>
        <w:separator/>
      </w:r>
    </w:p>
  </w:endnote>
  <w:endnote w:type="continuationSeparator" w:id="0">
    <w:p w14:paraId="7FF6EAA1" w14:textId="77777777" w:rsidR="00F93B26" w:rsidRDefault="00F93B26">
      <w:r>
        <w:continuationSeparator/>
      </w:r>
    </w:p>
  </w:endnote>
  <w:endnote w:type="continuationNotice" w:id="1">
    <w:p w14:paraId="54798CAB" w14:textId="77777777" w:rsidR="00F93B26" w:rsidRDefault="00F93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AB01" w14:textId="0A68B8AF" w:rsidR="00F93B26" w:rsidRDefault="00F93B26" w:rsidP="001F14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B673DEC" w14:textId="77777777" w:rsidR="00F93B26" w:rsidRDefault="00F93B26" w:rsidP="001B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37198"/>
      <w:docPartObj>
        <w:docPartGallery w:val="Page Numbers (Bottom of Page)"/>
        <w:docPartUnique/>
      </w:docPartObj>
    </w:sdtPr>
    <w:sdtEndPr>
      <w:rPr>
        <w:noProof/>
      </w:rPr>
    </w:sdtEndPr>
    <w:sdtContent>
      <w:p w14:paraId="2A95601B" w14:textId="4AF0204D" w:rsidR="00F93B26" w:rsidRDefault="00F93B26" w:rsidP="00471CBF">
        <w:pPr>
          <w:pStyle w:val="Footer"/>
          <w:jc w:val="center"/>
        </w:pPr>
        <w:r>
          <w:fldChar w:fldCharType="begin"/>
        </w:r>
        <w:r>
          <w:instrText xml:space="preserve"> PAGE   \* MERGEFORMAT </w:instrText>
        </w:r>
        <w:r>
          <w:fldChar w:fldCharType="separate"/>
        </w:r>
        <w:r w:rsidR="00BD09F0">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C0F1A" w14:textId="77777777" w:rsidR="00F93B26" w:rsidRDefault="00F93B26">
      <w:r>
        <w:separator/>
      </w:r>
    </w:p>
  </w:footnote>
  <w:footnote w:type="continuationSeparator" w:id="0">
    <w:p w14:paraId="058D3A04" w14:textId="77777777" w:rsidR="00F93B26" w:rsidRDefault="00F93B26">
      <w:r>
        <w:continuationSeparator/>
      </w:r>
    </w:p>
  </w:footnote>
  <w:footnote w:type="continuationNotice" w:id="1">
    <w:p w14:paraId="4FC7CDB3" w14:textId="77777777" w:rsidR="00F93B26" w:rsidRDefault="00F93B26"/>
  </w:footnote>
  <w:footnote w:id="2">
    <w:p w14:paraId="149FAE89" w14:textId="4D79F2E4" w:rsidR="00F93B26" w:rsidRPr="007415EF" w:rsidRDefault="00F93B26">
      <w:pPr>
        <w:pStyle w:val="FootnoteText"/>
        <w:rPr>
          <w:lang w:val="en-AU"/>
        </w:rPr>
      </w:pPr>
      <w:r>
        <w:rPr>
          <w:rStyle w:val="FootnoteReference"/>
        </w:rPr>
        <w:footnoteRef/>
      </w:r>
      <w:r>
        <w:t xml:space="preserve"> </w:t>
      </w:r>
      <w:r>
        <w:rPr>
          <w:rFonts w:ascii="MyriadPro-Regular" w:hAnsi="MyriadPro-Regular" w:cs="MyriadPro-Regular"/>
          <w:lang w:eastAsia="en-GB" w:bidi="ar-SA"/>
        </w:rPr>
        <w:t>International Numbering System for Food Additives</w:t>
      </w:r>
    </w:p>
  </w:footnote>
  <w:footnote w:id="3">
    <w:p w14:paraId="356FD3D9" w14:textId="40212054" w:rsidR="00F93B26" w:rsidRPr="004749DD" w:rsidRDefault="00F93B26">
      <w:pPr>
        <w:pStyle w:val="FootnoteText"/>
        <w:rPr>
          <w:lang w:val="en-AU"/>
        </w:rPr>
      </w:pPr>
      <w:r>
        <w:rPr>
          <w:rStyle w:val="FootnoteReference"/>
        </w:rPr>
        <w:footnoteRef/>
      </w:r>
      <w:r>
        <w:t xml:space="preserve"> </w:t>
      </w:r>
      <w:r>
        <w:rPr>
          <w:lang w:val="en-AU"/>
        </w:rPr>
        <w:t xml:space="preserve">Noting that only excipients and carriers listed in Schedule 18 of the Code would be permitted for rosemary extract used as an antioxidant in Australia and New Zealand. </w:t>
      </w:r>
    </w:p>
  </w:footnote>
  <w:footnote w:id="4">
    <w:p w14:paraId="00EBCB42" w14:textId="77777777" w:rsidR="00F93B26" w:rsidRPr="003B3FC8" w:rsidRDefault="00F93B26" w:rsidP="00D03F63">
      <w:pPr>
        <w:pStyle w:val="FootnoteText"/>
        <w:rPr>
          <w:lang w:val="en-AU"/>
        </w:rPr>
      </w:pPr>
      <w:r>
        <w:rPr>
          <w:rStyle w:val="FootnoteReference"/>
        </w:rPr>
        <w:footnoteRef/>
      </w:r>
      <w:r>
        <w:t xml:space="preserve"> </w:t>
      </w:r>
      <w:r>
        <w:rPr>
          <w:lang w:val="en-AU"/>
        </w:rPr>
        <w:t xml:space="preserve">Reference volatiles are </w:t>
      </w:r>
      <w:r w:rsidRPr="003B3FC8">
        <w:rPr>
          <w:lang w:val="en-AU"/>
        </w:rPr>
        <w:t>(-)-borneol, (-)-bo</w:t>
      </w:r>
      <w:r>
        <w:rPr>
          <w:lang w:val="en-AU"/>
        </w:rPr>
        <w:t>rnyl acetate, (-)-camphor, 1,8-c</w:t>
      </w:r>
      <w:r w:rsidRPr="003B3FC8">
        <w:rPr>
          <w:lang w:val="en-AU"/>
        </w:rPr>
        <w:t>ineole (eucalyptol) and verbenone</w:t>
      </w:r>
      <w:r>
        <w:rPr>
          <w:lang w:val="en-AU"/>
        </w:rPr>
        <w:t xml:space="preserve">. These are the main substances that contribute to the flavouring and aroma properties of rosemary extract. </w:t>
      </w:r>
    </w:p>
  </w:footnote>
  <w:footnote w:id="5">
    <w:p w14:paraId="55B7089E" w14:textId="3BBDC148" w:rsidR="00F93B26" w:rsidRPr="00814453" w:rsidRDefault="00F93B26" w:rsidP="00B75BBB">
      <w:pPr>
        <w:pStyle w:val="FootnoteText"/>
      </w:pPr>
      <w:r>
        <w:rPr>
          <w:rStyle w:val="FootnoteReference"/>
        </w:rPr>
        <w:footnoteRef/>
      </w:r>
      <w:r>
        <w:t xml:space="preserve"> Harvest is FSANZ’s custom-built dietary modelling program that replaced the previous program, DIAMOND, which does the same calculations using a different software program.</w:t>
      </w:r>
    </w:p>
  </w:footnote>
  <w:footnote w:id="6">
    <w:p w14:paraId="5ACBDDE5" w14:textId="77777777" w:rsidR="00F93B26" w:rsidRDefault="00F93B26" w:rsidP="0097427E">
      <w:pPr>
        <w:pStyle w:val="FootnoteText"/>
      </w:pPr>
      <w:r>
        <w:rPr>
          <w:rStyle w:val="FootnoteReference"/>
        </w:rPr>
        <w:footnoteRef/>
      </w:r>
      <w:r>
        <w:t xml:space="preserve"> For the </w:t>
      </w:r>
      <w:r>
        <w:rPr>
          <w:i/>
        </w:rPr>
        <w:t>Naturally-occurring</w:t>
      </w:r>
      <w:r>
        <w:t xml:space="preserve"> scenario, there are insufficient New Zealand consumers aged 5-14 years to derive a P90 dietary exposure. Therefore, no P90 dietary exposure is shown on the figure for this scenario and population group.</w:t>
      </w:r>
    </w:p>
  </w:footnote>
  <w:footnote w:id="7">
    <w:p w14:paraId="5A0C6FC2" w14:textId="7FCEA16C" w:rsidR="00F93B26" w:rsidRDefault="00F93B26" w:rsidP="0097427E">
      <w:pPr>
        <w:pStyle w:val="FootnoteText"/>
      </w:pPr>
      <w:r>
        <w:rPr>
          <w:rStyle w:val="FootnoteReference"/>
        </w:rPr>
        <w:footnoteRef/>
      </w:r>
      <w:r>
        <w:t xml:space="preserve"> For the </w:t>
      </w:r>
      <w:r>
        <w:rPr>
          <w:i/>
        </w:rPr>
        <w:t>Naturally-occurring</w:t>
      </w:r>
      <w:r>
        <w:t xml:space="preserve"> scenario, there are insufficient New Zealand consumers aged 5-14 years to derive a P90 dietary exposure. Therefore, no P90 dietary exposure is shown on the figure for this scenario and population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3EDB" w14:textId="5685E635" w:rsidR="00F93B26" w:rsidRDefault="00F93B2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7652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E0B7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D4AD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3EEF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1EF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D6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A823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85E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AA1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AA34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CC622E"/>
    <w:multiLevelType w:val="hybridMultilevel"/>
    <w:tmpl w:val="312A990C"/>
    <w:lvl w:ilvl="0" w:tplc="4BAA3666">
      <w:numFmt w:val="bullet"/>
      <w:pStyle w:val="NonTOCheading2"/>
      <w:lvlText w:val=""/>
      <w:lvlJc w:val="left"/>
      <w:pPr>
        <w:ind w:left="720" w:hanging="360"/>
      </w:pPr>
      <w:rPr>
        <w:rFonts w:ascii="Wingdings" w:eastAsiaTheme="minorHAnsi" w:hAnsi="Wingdings" w:cs="Aria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625D7A"/>
    <w:multiLevelType w:val="hybridMultilevel"/>
    <w:tmpl w:val="A088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7124C8A"/>
    <w:multiLevelType w:val="hybridMultilevel"/>
    <w:tmpl w:val="77AA11CE"/>
    <w:lvl w:ilvl="0" w:tplc="68A020F4">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0"/>
  </w:num>
  <w:num w:numId="4">
    <w:abstractNumId w:val="13"/>
  </w:num>
  <w:num w:numId="5">
    <w:abstractNumId w:val="11"/>
  </w:num>
  <w:num w:numId="6">
    <w:abstractNumId w:val="16"/>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48AB"/>
    <w:rsid w:val="00011184"/>
    <w:rsid w:val="000131CA"/>
    <w:rsid w:val="0001621B"/>
    <w:rsid w:val="00025977"/>
    <w:rsid w:val="00034D05"/>
    <w:rsid w:val="00035FF3"/>
    <w:rsid w:val="00040C16"/>
    <w:rsid w:val="00050D8E"/>
    <w:rsid w:val="00051021"/>
    <w:rsid w:val="00051ED9"/>
    <w:rsid w:val="00052EDC"/>
    <w:rsid w:val="0005529A"/>
    <w:rsid w:val="00057181"/>
    <w:rsid w:val="0006473A"/>
    <w:rsid w:val="00064B2D"/>
    <w:rsid w:val="00064C01"/>
    <w:rsid w:val="00065F1F"/>
    <w:rsid w:val="00066FA5"/>
    <w:rsid w:val="00067599"/>
    <w:rsid w:val="00070B42"/>
    <w:rsid w:val="00073651"/>
    <w:rsid w:val="00076D33"/>
    <w:rsid w:val="00092CDA"/>
    <w:rsid w:val="00092E74"/>
    <w:rsid w:val="00097558"/>
    <w:rsid w:val="000A27E9"/>
    <w:rsid w:val="000A3D8B"/>
    <w:rsid w:val="000A5DF8"/>
    <w:rsid w:val="000A6D90"/>
    <w:rsid w:val="000A7661"/>
    <w:rsid w:val="000B088B"/>
    <w:rsid w:val="000B34EB"/>
    <w:rsid w:val="000B6AF2"/>
    <w:rsid w:val="000B6EBE"/>
    <w:rsid w:val="000C19FF"/>
    <w:rsid w:val="000C2D14"/>
    <w:rsid w:val="000D1391"/>
    <w:rsid w:val="000D6FD4"/>
    <w:rsid w:val="000E0AE4"/>
    <w:rsid w:val="000E3DBC"/>
    <w:rsid w:val="000E4DCC"/>
    <w:rsid w:val="000F331A"/>
    <w:rsid w:val="000F466D"/>
    <w:rsid w:val="000F6125"/>
    <w:rsid w:val="000F625F"/>
    <w:rsid w:val="00105D41"/>
    <w:rsid w:val="001136DF"/>
    <w:rsid w:val="00113CE3"/>
    <w:rsid w:val="00116401"/>
    <w:rsid w:val="00117522"/>
    <w:rsid w:val="00120571"/>
    <w:rsid w:val="00122358"/>
    <w:rsid w:val="00122C43"/>
    <w:rsid w:val="001237B3"/>
    <w:rsid w:val="001260F4"/>
    <w:rsid w:val="00127DC8"/>
    <w:rsid w:val="0013387E"/>
    <w:rsid w:val="001347F3"/>
    <w:rsid w:val="00135C14"/>
    <w:rsid w:val="00136E00"/>
    <w:rsid w:val="001457AF"/>
    <w:rsid w:val="00146D1F"/>
    <w:rsid w:val="00147EAE"/>
    <w:rsid w:val="001542D8"/>
    <w:rsid w:val="0015469A"/>
    <w:rsid w:val="001631DD"/>
    <w:rsid w:val="00165CC7"/>
    <w:rsid w:val="001666AE"/>
    <w:rsid w:val="00166DE5"/>
    <w:rsid w:val="001733D0"/>
    <w:rsid w:val="00180C41"/>
    <w:rsid w:val="00182C4C"/>
    <w:rsid w:val="00186980"/>
    <w:rsid w:val="00190FB4"/>
    <w:rsid w:val="00190FC6"/>
    <w:rsid w:val="0019356F"/>
    <w:rsid w:val="001945EB"/>
    <w:rsid w:val="00197D8D"/>
    <w:rsid w:val="001A1A75"/>
    <w:rsid w:val="001A7E9A"/>
    <w:rsid w:val="001B43D2"/>
    <w:rsid w:val="001B5FDA"/>
    <w:rsid w:val="001C27A3"/>
    <w:rsid w:val="001C480C"/>
    <w:rsid w:val="001C5295"/>
    <w:rsid w:val="001C615F"/>
    <w:rsid w:val="001E09FA"/>
    <w:rsid w:val="001E3E12"/>
    <w:rsid w:val="001F14BE"/>
    <w:rsid w:val="001F5328"/>
    <w:rsid w:val="001F7442"/>
    <w:rsid w:val="001F7ACF"/>
    <w:rsid w:val="00203540"/>
    <w:rsid w:val="0021045A"/>
    <w:rsid w:val="002129BB"/>
    <w:rsid w:val="002130C7"/>
    <w:rsid w:val="002156B3"/>
    <w:rsid w:val="0021612B"/>
    <w:rsid w:val="0021694B"/>
    <w:rsid w:val="00216A99"/>
    <w:rsid w:val="0022083A"/>
    <w:rsid w:val="00221D07"/>
    <w:rsid w:val="002225FA"/>
    <w:rsid w:val="00227E4A"/>
    <w:rsid w:val="00230D30"/>
    <w:rsid w:val="00233DF6"/>
    <w:rsid w:val="00244F7C"/>
    <w:rsid w:val="0024582E"/>
    <w:rsid w:val="00245C56"/>
    <w:rsid w:val="00245EDF"/>
    <w:rsid w:val="00247AE7"/>
    <w:rsid w:val="00247E89"/>
    <w:rsid w:val="002547EF"/>
    <w:rsid w:val="00254814"/>
    <w:rsid w:val="00255F0D"/>
    <w:rsid w:val="00256D65"/>
    <w:rsid w:val="00271F00"/>
    <w:rsid w:val="00273A80"/>
    <w:rsid w:val="002741A4"/>
    <w:rsid w:val="00286B2A"/>
    <w:rsid w:val="0029204E"/>
    <w:rsid w:val="00292A75"/>
    <w:rsid w:val="0029631C"/>
    <w:rsid w:val="002A0194"/>
    <w:rsid w:val="002A2D62"/>
    <w:rsid w:val="002A3314"/>
    <w:rsid w:val="002A4290"/>
    <w:rsid w:val="002A5F8B"/>
    <w:rsid w:val="002A7F6C"/>
    <w:rsid w:val="002B12EE"/>
    <w:rsid w:val="002B7DD1"/>
    <w:rsid w:val="002C04C4"/>
    <w:rsid w:val="002C174F"/>
    <w:rsid w:val="002C1FF4"/>
    <w:rsid w:val="002C2AE2"/>
    <w:rsid w:val="002D5665"/>
    <w:rsid w:val="002D6809"/>
    <w:rsid w:val="002E2855"/>
    <w:rsid w:val="002E287B"/>
    <w:rsid w:val="002E37D2"/>
    <w:rsid w:val="002F200C"/>
    <w:rsid w:val="002F5F5F"/>
    <w:rsid w:val="002F6488"/>
    <w:rsid w:val="00305DED"/>
    <w:rsid w:val="00312713"/>
    <w:rsid w:val="00320839"/>
    <w:rsid w:val="003213F9"/>
    <w:rsid w:val="00323DBF"/>
    <w:rsid w:val="00324433"/>
    <w:rsid w:val="003246C7"/>
    <w:rsid w:val="00326A5D"/>
    <w:rsid w:val="00326D85"/>
    <w:rsid w:val="003309A8"/>
    <w:rsid w:val="0033249A"/>
    <w:rsid w:val="00332B12"/>
    <w:rsid w:val="00336C1E"/>
    <w:rsid w:val="00346932"/>
    <w:rsid w:val="00351B07"/>
    <w:rsid w:val="00352CF2"/>
    <w:rsid w:val="0035557D"/>
    <w:rsid w:val="00364841"/>
    <w:rsid w:val="00371B29"/>
    <w:rsid w:val="0037656B"/>
    <w:rsid w:val="0038595F"/>
    <w:rsid w:val="00385AD8"/>
    <w:rsid w:val="00391769"/>
    <w:rsid w:val="00393E33"/>
    <w:rsid w:val="003953E1"/>
    <w:rsid w:val="003956B3"/>
    <w:rsid w:val="003A2696"/>
    <w:rsid w:val="003A2C60"/>
    <w:rsid w:val="003A67EB"/>
    <w:rsid w:val="003A68BE"/>
    <w:rsid w:val="003A6973"/>
    <w:rsid w:val="003B06CC"/>
    <w:rsid w:val="003B1805"/>
    <w:rsid w:val="003B3889"/>
    <w:rsid w:val="003B3C9D"/>
    <w:rsid w:val="003B5401"/>
    <w:rsid w:val="003B54BE"/>
    <w:rsid w:val="003B78E0"/>
    <w:rsid w:val="003C2A11"/>
    <w:rsid w:val="003C2E8A"/>
    <w:rsid w:val="003C4969"/>
    <w:rsid w:val="003D1EC3"/>
    <w:rsid w:val="003D54D4"/>
    <w:rsid w:val="003D6A7D"/>
    <w:rsid w:val="003E41D5"/>
    <w:rsid w:val="003E46BA"/>
    <w:rsid w:val="003E4789"/>
    <w:rsid w:val="003E50D4"/>
    <w:rsid w:val="003E5801"/>
    <w:rsid w:val="003E7D22"/>
    <w:rsid w:val="003F74C1"/>
    <w:rsid w:val="004050AB"/>
    <w:rsid w:val="00405B1A"/>
    <w:rsid w:val="00405BC0"/>
    <w:rsid w:val="00405D68"/>
    <w:rsid w:val="00410C76"/>
    <w:rsid w:val="00411907"/>
    <w:rsid w:val="004123D1"/>
    <w:rsid w:val="00412F3A"/>
    <w:rsid w:val="00413CA8"/>
    <w:rsid w:val="00414B6A"/>
    <w:rsid w:val="00417EE3"/>
    <w:rsid w:val="004207EB"/>
    <w:rsid w:val="004273D8"/>
    <w:rsid w:val="00434F71"/>
    <w:rsid w:val="00437276"/>
    <w:rsid w:val="00441E08"/>
    <w:rsid w:val="004442AD"/>
    <w:rsid w:val="004443D1"/>
    <w:rsid w:val="00446726"/>
    <w:rsid w:val="004557D4"/>
    <w:rsid w:val="00456B54"/>
    <w:rsid w:val="00464555"/>
    <w:rsid w:val="00464643"/>
    <w:rsid w:val="00471CBF"/>
    <w:rsid w:val="0047310C"/>
    <w:rsid w:val="004749DD"/>
    <w:rsid w:val="00477904"/>
    <w:rsid w:val="00477D47"/>
    <w:rsid w:val="0048026B"/>
    <w:rsid w:val="00486793"/>
    <w:rsid w:val="00492B52"/>
    <w:rsid w:val="00492F84"/>
    <w:rsid w:val="00495378"/>
    <w:rsid w:val="0049611C"/>
    <w:rsid w:val="00497075"/>
    <w:rsid w:val="004A0A5F"/>
    <w:rsid w:val="004A1C37"/>
    <w:rsid w:val="004A2037"/>
    <w:rsid w:val="004A3FBB"/>
    <w:rsid w:val="004B60BB"/>
    <w:rsid w:val="004B6CA3"/>
    <w:rsid w:val="004C2CE7"/>
    <w:rsid w:val="004C5434"/>
    <w:rsid w:val="004C731A"/>
    <w:rsid w:val="004D0B09"/>
    <w:rsid w:val="004D3A8E"/>
    <w:rsid w:val="004D4294"/>
    <w:rsid w:val="004E75E3"/>
    <w:rsid w:val="004F277B"/>
    <w:rsid w:val="004F43D0"/>
    <w:rsid w:val="004F44D4"/>
    <w:rsid w:val="004F4F98"/>
    <w:rsid w:val="004F69F6"/>
    <w:rsid w:val="004F79AC"/>
    <w:rsid w:val="005001ED"/>
    <w:rsid w:val="005017CF"/>
    <w:rsid w:val="00505049"/>
    <w:rsid w:val="005056F8"/>
    <w:rsid w:val="005065BB"/>
    <w:rsid w:val="00511032"/>
    <w:rsid w:val="005137FA"/>
    <w:rsid w:val="005142CF"/>
    <w:rsid w:val="005207D8"/>
    <w:rsid w:val="00521DC2"/>
    <w:rsid w:val="00521EE9"/>
    <w:rsid w:val="00522CDD"/>
    <w:rsid w:val="0052712B"/>
    <w:rsid w:val="0053098C"/>
    <w:rsid w:val="00532EAF"/>
    <w:rsid w:val="0053464E"/>
    <w:rsid w:val="00540319"/>
    <w:rsid w:val="0054272D"/>
    <w:rsid w:val="00544398"/>
    <w:rsid w:val="0055253E"/>
    <w:rsid w:val="0055434B"/>
    <w:rsid w:val="00554C92"/>
    <w:rsid w:val="005575D5"/>
    <w:rsid w:val="00562917"/>
    <w:rsid w:val="00571CD9"/>
    <w:rsid w:val="005739E7"/>
    <w:rsid w:val="0057615C"/>
    <w:rsid w:val="00585ED3"/>
    <w:rsid w:val="00586228"/>
    <w:rsid w:val="00590ADC"/>
    <w:rsid w:val="005A1D97"/>
    <w:rsid w:val="005A58F3"/>
    <w:rsid w:val="005B0384"/>
    <w:rsid w:val="005B1B28"/>
    <w:rsid w:val="005B451B"/>
    <w:rsid w:val="005B5EED"/>
    <w:rsid w:val="005B6AF4"/>
    <w:rsid w:val="005B7A73"/>
    <w:rsid w:val="005C04CB"/>
    <w:rsid w:val="005C593F"/>
    <w:rsid w:val="005C69B6"/>
    <w:rsid w:val="005D16AD"/>
    <w:rsid w:val="005D1CAC"/>
    <w:rsid w:val="005D6D72"/>
    <w:rsid w:val="005D72E1"/>
    <w:rsid w:val="005E04B6"/>
    <w:rsid w:val="005E5484"/>
    <w:rsid w:val="005E6E16"/>
    <w:rsid w:val="005F400E"/>
    <w:rsid w:val="005F488A"/>
    <w:rsid w:val="005F7342"/>
    <w:rsid w:val="00603A08"/>
    <w:rsid w:val="00605DEE"/>
    <w:rsid w:val="006066AA"/>
    <w:rsid w:val="00606F2D"/>
    <w:rsid w:val="00610A3C"/>
    <w:rsid w:val="006110A8"/>
    <w:rsid w:val="006130E5"/>
    <w:rsid w:val="00613CF0"/>
    <w:rsid w:val="00620642"/>
    <w:rsid w:val="00627F48"/>
    <w:rsid w:val="00630C23"/>
    <w:rsid w:val="0063440C"/>
    <w:rsid w:val="00645D15"/>
    <w:rsid w:val="006460AB"/>
    <w:rsid w:val="006550F1"/>
    <w:rsid w:val="0065536B"/>
    <w:rsid w:val="00655E54"/>
    <w:rsid w:val="00663FCF"/>
    <w:rsid w:val="0066518B"/>
    <w:rsid w:val="006652A2"/>
    <w:rsid w:val="00667AAD"/>
    <w:rsid w:val="006725C6"/>
    <w:rsid w:val="00677848"/>
    <w:rsid w:val="00681409"/>
    <w:rsid w:val="00690206"/>
    <w:rsid w:val="00690AA2"/>
    <w:rsid w:val="006937FF"/>
    <w:rsid w:val="006A024B"/>
    <w:rsid w:val="006A48A7"/>
    <w:rsid w:val="006B4BA1"/>
    <w:rsid w:val="006B5EBE"/>
    <w:rsid w:val="006C1B1E"/>
    <w:rsid w:val="006C2B27"/>
    <w:rsid w:val="006C53B5"/>
    <w:rsid w:val="006C5541"/>
    <w:rsid w:val="006C5CF5"/>
    <w:rsid w:val="006D2A5F"/>
    <w:rsid w:val="006D4B40"/>
    <w:rsid w:val="006E2291"/>
    <w:rsid w:val="006E45F1"/>
    <w:rsid w:val="006E512E"/>
    <w:rsid w:val="006F4A82"/>
    <w:rsid w:val="006F6797"/>
    <w:rsid w:val="0070373B"/>
    <w:rsid w:val="00706994"/>
    <w:rsid w:val="007147F5"/>
    <w:rsid w:val="007157A5"/>
    <w:rsid w:val="0071632E"/>
    <w:rsid w:val="00717E93"/>
    <w:rsid w:val="00724FA4"/>
    <w:rsid w:val="00730527"/>
    <w:rsid w:val="00730800"/>
    <w:rsid w:val="00734A9B"/>
    <w:rsid w:val="0073706B"/>
    <w:rsid w:val="00737D46"/>
    <w:rsid w:val="00740CE0"/>
    <w:rsid w:val="007415EF"/>
    <w:rsid w:val="00746B4B"/>
    <w:rsid w:val="00750398"/>
    <w:rsid w:val="0075195A"/>
    <w:rsid w:val="00752A8E"/>
    <w:rsid w:val="0076006E"/>
    <w:rsid w:val="007602AA"/>
    <w:rsid w:val="00761133"/>
    <w:rsid w:val="00763BAF"/>
    <w:rsid w:val="007652EF"/>
    <w:rsid w:val="00767727"/>
    <w:rsid w:val="00772727"/>
    <w:rsid w:val="00772BDC"/>
    <w:rsid w:val="00780624"/>
    <w:rsid w:val="00780792"/>
    <w:rsid w:val="00783140"/>
    <w:rsid w:val="00784A76"/>
    <w:rsid w:val="0078798B"/>
    <w:rsid w:val="00793748"/>
    <w:rsid w:val="00796562"/>
    <w:rsid w:val="007A44B4"/>
    <w:rsid w:val="007A7D3D"/>
    <w:rsid w:val="007A7D6A"/>
    <w:rsid w:val="007B225D"/>
    <w:rsid w:val="007B7417"/>
    <w:rsid w:val="007C10BA"/>
    <w:rsid w:val="007C174F"/>
    <w:rsid w:val="007C1C64"/>
    <w:rsid w:val="007C1CB2"/>
    <w:rsid w:val="007C3249"/>
    <w:rsid w:val="007C3DED"/>
    <w:rsid w:val="007C4FE4"/>
    <w:rsid w:val="007C6D1D"/>
    <w:rsid w:val="007D03EA"/>
    <w:rsid w:val="007E1D25"/>
    <w:rsid w:val="007E2272"/>
    <w:rsid w:val="007E48BC"/>
    <w:rsid w:val="007E79F7"/>
    <w:rsid w:val="007F11F7"/>
    <w:rsid w:val="007F3630"/>
    <w:rsid w:val="00805095"/>
    <w:rsid w:val="00805336"/>
    <w:rsid w:val="00805989"/>
    <w:rsid w:val="00807559"/>
    <w:rsid w:val="00807F19"/>
    <w:rsid w:val="00817642"/>
    <w:rsid w:val="00824245"/>
    <w:rsid w:val="0083759F"/>
    <w:rsid w:val="0083796D"/>
    <w:rsid w:val="00843C3E"/>
    <w:rsid w:val="008450BC"/>
    <w:rsid w:val="008461F5"/>
    <w:rsid w:val="0085334B"/>
    <w:rsid w:val="00856CCD"/>
    <w:rsid w:val="00857938"/>
    <w:rsid w:val="00870214"/>
    <w:rsid w:val="00874070"/>
    <w:rsid w:val="0087518B"/>
    <w:rsid w:val="00885C51"/>
    <w:rsid w:val="00885EB0"/>
    <w:rsid w:val="00887453"/>
    <w:rsid w:val="00891DEE"/>
    <w:rsid w:val="00891F4B"/>
    <w:rsid w:val="0089264A"/>
    <w:rsid w:val="00893EF8"/>
    <w:rsid w:val="0089448E"/>
    <w:rsid w:val="00896B85"/>
    <w:rsid w:val="008A22BE"/>
    <w:rsid w:val="008A2F7E"/>
    <w:rsid w:val="008B317B"/>
    <w:rsid w:val="008B5290"/>
    <w:rsid w:val="008B6E07"/>
    <w:rsid w:val="008C08D3"/>
    <w:rsid w:val="008C1B36"/>
    <w:rsid w:val="008C3376"/>
    <w:rsid w:val="008C3822"/>
    <w:rsid w:val="008C38A8"/>
    <w:rsid w:val="008D0059"/>
    <w:rsid w:val="008D06C6"/>
    <w:rsid w:val="008D1BBE"/>
    <w:rsid w:val="008D3091"/>
    <w:rsid w:val="008D41ED"/>
    <w:rsid w:val="008D77D7"/>
    <w:rsid w:val="008E1E0A"/>
    <w:rsid w:val="008E41EB"/>
    <w:rsid w:val="008E6250"/>
    <w:rsid w:val="008F377D"/>
    <w:rsid w:val="008F4C11"/>
    <w:rsid w:val="008F66D7"/>
    <w:rsid w:val="00902AF6"/>
    <w:rsid w:val="0090625D"/>
    <w:rsid w:val="009070C8"/>
    <w:rsid w:val="0091232F"/>
    <w:rsid w:val="0091701B"/>
    <w:rsid w:val="00920249"/>
    <w:rsid w:val="00920F7E"/>
    <w:rsid w:val="00924C80"/>
    <w:rsid w:val="00926620"/>
    <w:rsid w:val="00926C64"/>
    <w:rsid w:val="00930815"/>
    <w:rsid w:val="00932F14"/>
    <w:rsid w:val="00933C8E"/>
    <w:rsid w:val="00933CC3"/>
    <w:rsid w:val="00935C84"/>
    <w:rsid w:val="0093613F"/>
    <w:rsid w:val="00940C5C"/>
    <w:rsid w:val="0094247F"/>
    <w:rsid w:val="00942D60"/>
    <w:rsid w:val="00952877"/>
    <w:rsid w:val="00956237"/>
    <w:rsid w:val="00956FE5"/>
    <w:rsid w:val="0096523B"/>
    <w:rsid w:val="00966EE3"/>
    <w:rsid w:val="009717D9"/>
    <w:rsid w:val="00972D06"/>
    <w:rsid w:val="0097427E"/>
    <w:rsid w:val="00974E1D"/>
    <w:rsid w:val="009801FB"/>
    <w:rsid w:val="0098140A"/>
    <w:rsid w:val="00981A39"/>
    <w:rsid w:val="00983FFA"/>
    <w:rsid w:val="0098446E"/>
    <w:rsid w:val="00993158"/>
    <w:rsid w:val="00993CAA"/>
    <w:rsid w:val="009A0069"/>
    <w:rsid w:val="009A0DC8"/>
    <w:rsid w:val="009A391C"/>
    <w:rsid w:val="009A50F2"/>
    <w:rsid w:val="009B2DE0"/>
    <w:rsid w:val="009C3885"/>
    <w:rsid w:val="009D0C71"/>
    <w:rsid w:val="009D29F4"/>
    <w:rsid w:val="009D47D4"/>
    <w:rsid w:val="009E0A61"/>
    <w:rsid w:val="009E3010"/>
    <w:rsid w:val="009E4CEA"/>
    <w:rsid w:val="009E7543"/>
    <w:rsid w:val="009E7F57"/>
    <w:rsid w:val="009F007E"/>
    <w:rsid w:val="009F0A56"/>
    <w:rsid w:val="009F1F04"/>
    <w:rsid w:val="009F597A"/>
    <w:rsid w:val="009F7065"/>
    <w:rsid w:val="00A015C6"/>
    <w:rsid w:val="00A01F0A"/>
    <w:rsid w:val="00A03265"/>
    <w:rsid w:val="00A04846"/>
    <w:rsid w:val="00A079A8"/>
    <w:rsid w:val="00A23285"/>
    <w:rsid w:val="00A271D2"/>
    <w:rsid w:val="00A30A9D"/>
    <w:rsid w:val="00A34289"/>
    <w:rsid w:val="00A36323"/>
    <w:rsid w:val="00A36C2D"/>
    <w:rsid w:val="00A4175D"/>
    <w:rsid w:val="00A50C10"/>
    <w:rsid w:val="00A5257A"/>
    <w:rsid w:val="00A52E5F"/>
    <w:rsid w:val="00A52FAA"/>
    <w:rsid w:val="00A53A40"/>
    <w:rsid w:val="00A54AC7"/>
    <w:rsid w:val="00A553C0"/>
    <w:rsid w:val="00A554DC"/>
    <w:rsid w:val="00A56DC7"/>
    <w:rsid w:val="00A60422"/>
    <w:rsid w:val="00A61845"/>
    <w:rsid w:val="00A637BC"/>
    <w:rsid w:val="00A74FD1"/>
    <w:rsid w:val="00A76CF9"/>
    <w:rsid w:val="00A77BFA"/>
    <w:rsid w:val="00A805EF"/>
    <w:rsid w:val="00A81F95"/>
    <w:rsid w:val="00A82F42"/>
    <w:rsid w:val="00A84A58"/>
    <w:rsid w:val="00A86399"/>
    <w:rsid w:val="00A86716"/>
    <w:rsid w:val="00A963DA"/>
    <w:rsid w:val="00AA47B7"/>
    <w:rsid w:val="00AB5CEB"/>
    <w:rsid w:val="00AB675E"/>
    <w:rsid w:val="00AC60E4"/>
    <w:rsid w:val="00AD0A38"/>
    <w:rsid w:val="00AD0F0F"/>
    <w:rsid w:val="00AD7F17"/>
    <w:rsid w:val="00AE1E6E"/>
    <w:rsid w:val="00AE337F"/>
    <w:rsid w:val="00AE48A1"/>
    <w:rsid w:val="00AF06FC"/>
    <w:rsid w:val="00AF3391"/>
    <w:rsid w:val="00AF387F"/>
    <w:rsid w:val="00AF4A81"/>
    <w:rsid w:val="00B00E7F"/>
    <w:rsid w:val="00B05F7D"/>
    <w:rsid w:val="00B07070"/>
    <w:rsid w:val="00B11E84"/>
    <w:rsid w:val="00B12F1E"/>
    <w:rsid w:val="00B173DA"/>
    <w:rsid w:val="00B21CC3"/>
    <w:rsid w:val="00B21DCC"/>
    <w:rsid w:val="00B241E7"/>
    <w:rsid w:val="00B25F37"/>
    <w:rsid w:val="00B30D64"/>
    <w:rsid w:val="00B36715"/>
    <w:rsid w:val="00B37BF0"/>
    <w:rsid w:val="00B42AAE"/>
    <w:rsid w:val="00B43D1B"/>
    <w:rsid w:val="00B44010"/>
    <w:rsid w:val="00B44422"/>
    <w:rsid w:val="00B46EA0"/>
    <w:rsid w:val="00B5723A"/>
    <w:rsid w:val="00B634EC"/>
    <w:rsid w:val="00B6465C"/>
    <w:rsid w:val="00B731D3"/>
    <w:rsid w:val="00B748C3"/>
    <w:rsid w:val="00B75459"/>
    <w:rsid w:val="00B75BBB"/>
    <w:rsid w:val="00B77F82"/>
    <w:rsid w:val="00B80D3C"/>
    <w:rsid w:val="00B82225"/>
    <w:rsid w:val="00B839A3"/>
    <w:rsid w:val="00B8671E"/>
    <w:rsid w:val="00B87185"/>
    <w:rsid w:val="00B902BD"/>
    <w:rsid w:val="00BA0564"/>
    <w:rsid w:val="00BA24E2"/>
    <w:rsid w:val="00BA51A2"/>
    <w:rsid w:val="00BB0056"/>
    <w:rsid w:val="00BC32E2"/>
    <w:rsid w:val="00BC737C"/>
    <w:rsid w:val="00BD09F0"/>
    <w:rsid w:val="00BD2527"/>
    <w:rsid w:val="00BD2A39"/>
    <w:rsid w:val="00BD2E80"/>
    <w:rsid w:val="00BE11B8"/>
    <w:rsid w:val="00BE2EF2"/>
    <w:rsid w:val="00BE40C3"/>
    <w:rsid w:val="00BF1AC6"/>
    <w:rsid w:val="00BF7FF0"/>
    <w:rsid w:val="00C00475"/>
    <w:rsid w:val="00C04C1D"/>
    <w:rsid w:val="00C05026"/>
    <w:rsid w:val="00C057F4"/>
    <w:rsid w:val="00C116E4"/>
    <w:rsid w:val="00C12502"/>
    <w:rsid w:val="00C12AA0"/>
    <w:rsid w:val="00C15A4E"/>
    <w:rsid w:val="00C175E1"/>
    <w:rsid w:val="00C17DAB"/>
    <w:rsid w:val="00C24153"/>
    <w:rsid w:val="00C25F74"/>
    <w:rsid w:val="00C26B74"/>
    <w:rsid w:val="00C3291C"/>
    <w:rsid w:val="00C3612F"/>
    <w:rsid w:val="00C36578"/>
    <w:rsid w:val="00C40AA5"/>
    <w:rsid w:val="00C42D21"/>
    <w:rsid w:val="00C46F70"/>
    <w:rsid w:val="00C4764A"/>
    <w:rsid w:val="00C476D0"/>
    <w:rsid w:val="00C50704"/>
    <w:rsid w:val="00C51C60"/>
    <w:rsid w:val="00C54972"/>
    <w:rsid w:val="00C61AC1"/>
    <w:rsid w:val="00C80685"/>
    <w:rsid w:val="00C836E3"/>
    <w:rsid w:val="00C86577"/>
    <w:rsid w:val="00C92E07"/>
    <w:rsid w:val="00C96081"/>
    <w:rsid w:val="00C96868"/>
    <w:rsid w:val="00CA0416"/>
    <w:rsid w:val="00CA1DDA"/>
    <w:rsid w:val="00CA3F72"/>
    <w:rsid w:val="00CA641D"/>
    <w:rsid w:val="00CB0AD8"/>
    <w:rsid w:val="00CB11A8"/>
    <w:rsid w:val="00CC4445"/>
    <w:rsid w:val="00CC560B"/>
    <w:rsid w:val="00CC708F"/>
    <w:rsid w:val="00CC75E2"/>
    <w:rsid w:val="00CD1375"/>
    <w:rsid w:val="00CD28D4"/>
    <w:rsid w:val="00CD335B"/>
    <w:rsid w:val="00CD3CFD"/>
    <w:rsid w:val="00CD46EB"/>
    <w:rsid w:val="00CD7EBF"/>
    <w:rsid w:val="00CE0EA4"/>
    <w:rsid w:val="00CE0EBB"/>
    <w:rsid w:val="00CE32CC"/>
    <w:rsid w:val="00CF38B9"/>
    <w:rsid w:val="00CF3931"/>
    <w:rsid w:val="00CF70D2"/>
    <w:rsid w:val="00CF756D"/>
    <w:rsid w:val="00D03F63"/>
    <w:rsid w:val="00D056F1"/>
    <w:rsid w:val="00D11171"/>
    <w:rsid w:val="00D1293A"/>
    <w:rsid w:val="00D22F3C"/>
    <w:rsid w:val="00D23BFC"/>
    <w:rsid w:val="00D23DB6"/>
    <w:rsid w:val="00D313D8"/>
    <w:rsid w:val="00D32E99"/>
    <w:rsid w:val="00D35A2F"/>
    <w:rsid w:val="00D4341D"/>
    <w:rsid w:val="00D43FE6"/>
    <w:rsid w:val="00D44D93"/>
    <w:rsid w:val="00D453D1"/>
    <w:rsid w:val="00D507B5"/>
    <w:rsid w:val="00D5128F"/>
    <w:rsid w:val="00D51A95"/>
    <w:rsid w:val="00D60568"/>
    <w:rsid w:val="00D63AE4"/>
    <w:rsid w:val="00D70569"/>
    <w:rsid w:val="00D70C7A"/>
    <w:rsid w:val="00D73C4A"/>
    <w:rsid w:val="00D75028"/>
    <w:rsid w:val="00D81D38"/>
    <w:rsid w:val="00D82E94"/>
    <w:rsid w:val="00D838B0"/>
    <w:rsid w:val="00D85D43"/>
    <w:rsid w:val="00D869F3"/>
    <w:rsid w:val="00D9070A"/>
    <w:rsid w:val="00D94DF5"/>
    <w:rsid w:val="00D9620E"/>
    <w:rsid w:val="00D97FC8"/>
    <w:rsid w:val="00DA0163"/>
    <w:rsid w:val="00DA10A8"/>
    <w:rsid w:val="00DA1DEF"/>
    <w:rsid w:val="00DA2815"/>
    <w:rsid w:val="00DB1094"/>
    <w:rsid w:val="00DB1E08"/>
    <w:rsid w:val="00DB2973"/>
    <w:rsid w:val="00DB3573"/>
    <w:rsid w:val="00DC1B56"/>
    <w:rsid w:val="00DC2129"/>
    <w:rsid w:val="00DC6302"/>
    <w:rsid w:val="00DC6570"/>
    <w:rsid w:val="00DC7955"/>
    <w:rsid w:val="00DD3C5E"/>
    <w:rsid w:val="00DE00DD"/>
    <w:rsid w:val="00DE0C4F"/>
    <w:rsid w:val="00DE0DA7"/>
    <w:rsid w:val="00DE2F87"/>
    <w:rsid w:val="00DF1EF7"/>
    <w:rsid w:val="00DF25C3"/>
    <w:rsid w:val="00DF662D"/>
    <w:rsid w:val="00DF7B5C"/>
    <w:rsid w:val="00E00C30"/>
    <w:rsid w:val="00E00FC5"/>
    <w:rsid w:val="00E04062"/>
    <w:rsid w:val="00E04691"/>
    <w:rsid w:val="00E063C6"/>
    <w:rsid w:val="00E066BA"/>
    <w:rsid w:val="00E10602"/>
    <w:rsid w:val="00E2003B"/>
    <w:rsid w:val="00E203B3"/>
    <w:rsid w:val="00E203C2"/>
    <w:rsid w:val="00E279D8"/>
    <w:rsid w:val="00E27B65"/>
    <w:rsid w:val="00E319B1"/>
    <w:rsid w:val="00E34BA9"/>
    <w:rsid w:val="00E371EF"/>
    <w:rsid w:val="00E372D2"/>
    <w:rsid w:val="00E44E0D"/>
    <w:rsid w:val="00E52C47"/>
    <w:rsid w:val="00E53665"/>
    <w:rsid w:val="00E5492F"/>
    <w:rsid w:val="00E5621B"/>
    <w:rsid w:val="00E60A5B"/>
    <w:rsid w:val="00E62DEF"/>
    <w:rsid w:val="00E65C77"/>
    <w:rsid w:val="00E67220"/>
    <w:rsid w:val="00E70A86"/>
    <w:rsid w:val="00E70E3A"/>
    <w:rsid w:val="00E74FE0"/>
    <w:rsid w:val="00E777EC"/>
    <w:rsid w:val="00E779E0"/>
    <w:rsid w:val="00E80FCD"/>
    <w:rsid w:val="00E87ADC"/>
    <w:rsid w:val="00E924C3"/>
    <w:rsid w:val="00E941FB"/>
    <w:rsid w:val="00E9707E"/>
    <w:rsid w:val="00EA38D2"/>
    <w:rsid w:val="00EA3A71"/>
    <w:rsid w:val="00EA5C4B"/>
    <w:rsid w:val="00EA7F2F"/>
    <w:rsid w:val="00EB3AB9"/>
    <w:rsid w:val="00EB6AB8"/>
    <w:rsid w:val="00EB7B1F"/>
    <w:rsid w:val="00EC00DE"/>
    <w:rsid w:val="00EC30E1"/>
    <w:rsid w:val="00ED172A"/>
    <w:rsid w:val="00ED7176"/>
    <w:rsid w:val="00ED764E"/>
    <w:rsid w:val="00ED7C38"/>
    <w:rsid w:val="00EE17AE"/>
    <w:rsid w:val="00EF3000"/>
    <w:rsid w:val="00EF7074"/>
    <w:rsid w:val="00F036AC"/>
    <w:rsid w:val="00F11F6C"/>
    <w:rsid w:val="00F14BEC"/>
    <w:rsid w:val="00F225C5"/>
    <w:rsid w:val="00F2587A"/>
    <w:rsid w:val="00F35019"/>
    <w:rsid w:val="00F3715D"/>
    <w:rsid w:val="00F40A07"/>
    <w:rsid w:val="00F420C8"/>
    <w:rsid w:val="00F42A4C"/>
    <w:rsid w:val="00F43237"/>
    <w:rsid w:val="00F47F21"/>
    <w:rsid w:val="00F52B30"/>
    <w:rsid w:val="00F52B4E"/>
    <w:rsid w:val="00F604DE"/>
    <w:rsid w:val="00F62016"/>
    <w:rsid w:val="00F73ADF"/>
    <w:rsid w:val="00F74AFF"/>
    <w:rsid w:val="00F74B7A"/>
    <w:rsid w:val="00F7680B"/>
    <w:rsid w:val="00F82252"/>
    <w:rsid w:val="00F85265"/>
    <w:rsid w:val="00F87BE8"/>
    <w:rsid w:val="00F93B26"/>
    <w:rsid w:val="00F93E5A"/>
    <w:rsid w:val="00FA176B"/>
    <w:rsid w:val="00FA6B8C"/>
    <w:rsid w:val="00FB2494"/>
    <w:rsid w:val="00FB2997"/>
    <w:rsid w:val="00FB56F2"/>
    <w:rsid w:val="00FB58D6"/>
    <w:rsid w:val="00FB7512"/>
    <w:rsid w:val="00FC075C"/>
    <w:rsid w:val="00FC3C10"/>
    <w:rsid w:val="00FC68EB"/>
    <w:rsid w:val="00FC71A8"/>
    <w:rsid w:val="00FD1B06"/>
    <w:rsid w:val="00FD7547"/>
    <w:rsid w:val="00FE177F"/>
    <w:rsid w:val="00FE443F"/>
    <w:rsid w:val="00FF5F5C"/>
    <w:rsid w:val="00FF6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7A001A7"/>
  <w15:docId w15:val="{7B121309-C6A2-4D41-9CBC-89D17955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DF662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5137FA"/>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DF662D"/>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5137FA"/>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F662D"/>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A6973"/>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table" w:customStyle="1" w:styleId="TableGrid1">
    <w:name w:val="Table Grid1"/>
    <w:basedOn w:val="TableNormal"/>
    <w:next w:val="TableGrid"/>
    <w:uiPriority w:val="59"/>
    <w:rsid w:val="00D03F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aliases w:val="Footnotes Text Char,FSFootnotes Text Char,FSFootnote Text Char"/>
    <w:basedOn w:val="DefaultParagraphFont"/>
    <w:link w:val="FootnoteText"/>
    <w:rsid w:val="00B75BBB"/>
    <w:rPr>
      <w:rFonts w:ascii="Arial" w:hAnsi="Arial"/>
      <w:lang w:eastAsia="en-US" w:bidi="en-US"/>
    </w:rPr>
  </w:style>
  <w:style w:type="table" w:styleId="ListTable4-Accent1">
    <w:name w:val="List Table 4 Accent 1"/>
    <w:basedOn w:val="TableNormal"/>
    <w:uiPriority w:val="49"/>
    <w:rsid w:val="00B75B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8461F5"/>
    <w:rPr>
      <w:rFonts w:ascii="Arial" w:eastAsia="Calibri" w:hAnsi="Arial" w:cs="Arial"/>
      <w:color w:val="2E3037"/>
      <w:sz w:val="22"/>
      <w:szCs w:val="22"/>
      <w:lang w:val="en-AU"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8461F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rsid w:val="009742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2">
    <w:name w:val="Table 2"/>
    <w:basedOn w:val="Normal"/>
    <w:uiPriority w:val="20"/>
    <w:semiHidden/>
    <w:qFormat/>
    <w:rsid w:val="0097427E"/>
    <w:pPr>
      <w:widowControl/>
      <w:spacing w:after="120"/>
      <w:ind w:left="142" w:hanging="142"/>
    </w:pPr>
    <w:rPr>
      <w:bCs/>
      <w:color w:val="2E3037"/>
      <w:sz w:val="18"/>
      <w:szCs w:val="20"/>
      <w:lang w:val="en-AU" w:bidi="ar-SA"/>
    </w:rPr>
  </w:style>
  <w:style w:type="paragraph" w:customStyle="1" w:styleId="131ItemHeading">
    <w:name w:val="1.3.1 Item Heading"/>
    <w:basedOn w:val="Table2"/>
    <w:next w:val="Table2"/>
    <w:uiPriority w:val="22"/>
    <w:semiHidden/>
    <w:qFormat/>
    <w:rsid w:val="0097427E"/>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semiHidden/>
    <w:qFormat/>
    <w:rsid w:val="0097427E"/>
    <w:pPr>
      <w:spacing w:after="120"/>
    </w:pPr>
    <w:rPr>
      <w:caps w:val="0"/>
      <w:sz w:val="18"/>
    </w:rPr>
  </w:style>
  <w:style w:type="paragraph" w:customStyle="1" w:styleId="142Tableheading1">
    <w:name w:val="1.4.2 Table heading1"/>
    <w:basedOn w:val="Normal"/>
    <w:uiPriority w:val="22"/>
    <w:semiHidden/>
    <w:qFormat/>
    <w:rsid w:val="0097427E"/>
    <w:pPr>
      <w:keepNext/>
      <w:widowControl/>
      <w:spacing w:after="120"/>
      <w:jc w:val="center"/>
    </w:pPr>
    <w:rPr>
      <w:rFonts w:ascii="Arial Bold" w:eastAsiaTheme="minorHAnsi" w:hAnsi="Arial Bold" w:cs="Arial"/>
      <w:b/>
      <w:bCs/>
      <w:iCs/>
      <w:color w:val="2E3037"/>
      <w:sz w:val="18"/>
      <w:szCs w:val="22"/>
      <w:lang w:val="en-AU" w:bidi="ar-SA"/>
    </w:rPr>
  </w:style>
  <w:style w:type="paragraph" w:customStyle="1" w:styleId="142Tableheading2">
    <w:name w:val="1.4.2 Table heading2"/>
    <w:basedOn w:val="142Tableheading1"/>
    <w:uiPriority w:val="22"/>
    <w:semiHidden/>
    <w:qFormat/>
    <w:rsid w:val="0097427E"/>
    <w:rPr>
      <w:rFonts w:ascii="Arial" w:eastAsia="Times New Roman" w:hAnsi="Arial" w:cs="Times New Roman"/>
      <w:b w:val="0"/>
      <w:iCs w:val="0"/>
      <w:szCs w:val="20"/>
    </w:rPr>
  </w:style>
  <w:style w:type="paragraph" w:customStyle="1" w:styleId="142Tabletext1">
    <w:name w:val="1.4.2 Table text1"/>
    <w:basedOn w:val="Normal"/>
    <w:link w:val="142Tabletext1Char"/>
    <w:uiPriority w:val="22"/>
    <w:semiHidden/>
    <w:qFormat/>
    <w:rsid w:val="0097427E"/>
    <w:pPr>
      <w:widowControl/>
      <w:spacing w:after="120"/>
      <w:ind w:left="142" w:hanging="142"/>
    </w:pPr>
    <w:rPr>
      <w:color w:val="2E3037"/>
      <w:sz w:val="18"/>
      <w:szCs w:val="20"/>
      <w:lang w:val="en-AU" w:bidi="ar-SA"/>
    </w:rPr>
  </w:style>
  <w:style w:type="character" w:customStyle="1" w:styleId="142Tabletext1Char">
    <w:name w:val="1.4.2 Table text1 Char"/>
    <w:basedOn w:val="DefaultParagraphFont"/>
    <w:link w:val="142Tabletext1"/>
    <w:uiPriority w:val="22"/>
    <w:semiHidden/>
    <w:rsid w:val="0097427E"/>
    <w:rPr>
      <w:rFonts w:ascii="Arial" w:hAnsi="Arial"/>
      <w:color w:val="2E3037"/>
      <w:sz w:val="18"/>
      <w:lang w:val="en-AU" w:eastAsia="en-US"/>
    </w:rPr>
  </w:style>
  <w:style w:type="paragraph" w:customStyle="1" w:styleId="142Tabletext2">
    <w:name w:val="1.4.2 Table text2"/>
    <w:basedOn w:val="142Tabletext1"/>
    <w:uiPriority w:val="22"/>
    <w:semiHidden/>
    <w:qFormat/>
    <w:rsid w:val="0097427E"/>
    <w:pPr>
      <w:jc w:val="right"/>
    </w:pPr>
  </w:style>
  <w:style w:type="paragraph" w:customStyle="1" w:styleId="Blankpage">
    <w:name w:val="Blank page"/>
    <w:basedOn w:val="Normal"/>
    <w:next w:val="Normal"/>
    <w:uiPriority w:val="23"/>
    <w:semiHidden/>
    <w:qFormat/>
    <w:rsid w:val="0097427E"/>
    <w:pPr>
      <w:widowControl/>
      <w:tabs>
        <w:tab w:val="left" w:pos="851"/>
      </w:tabs>
      <w:spacing w:before="6000" w:after="120"/>
      <w:jc w:val="center"/>
    </w:pPr>
    <w:rPr>
      <w:caps/>
      <w:color w:val="2E3037"/>
      <w:szCs w:val="20"/>
      <w:lang w:val="en-AU" w:bidi="ar-SA"/>
    </w:rPr>
  </w:style>
  <w:style w:type="paragraph" w:customStyle="1" w:styleId="Clause">
    <w:name w:val="Clause"/>
    <w:basedOn w:val="Normal"/>
    <w:next w:val="Normal"/>
    <w:link w:val="ClauseChar"/>
    <w:uiPriority w:val="10"/>
    <w:semiHidden/>
    <w:qFormat/>
    <w:rsid w:val="0097427E"/>
    <w:pPr>
      <w:widowControl/>
      <w:tabs>
        <w:tab w:val="left" w:pos="851"/>
      </w:tabs>
      <w:spacing w:after="120"/>
    </w:pPr>
    <w:rPr>
      <w:color w:val="2E3037"/>
      <w:sz w:val="20"/>
      <w:szCs w:val="20"/>
      <w:lang w:val="en-AU" w:bidi="ar-SA"/>
    </w:rPr>
  </w:style>
  <w:style w:type="character" w:customStyle="1" w:styleId="ClauseChar">
    <w:name w:val="Clause Char"/>
    <w:basedOn w:val="DefaultParagraphFont"/>
    <w:link w:val="Clause"/>
    <w:uiPriority w:val="10"/>
    <w:semiHidden/>
    <w:rsid w:val="0097427E"/>
    <w:rPr>
      <w:rFonts w:ascii="Arial" w:hAnsi="Arial"/>
      <w:color w:val="2E3037"/>
      <w:lang w:val="en-AU" w:eastAsia="en-US"/>
    </w:rPr>
  </w:style>
  <w:style w:type="paragraph" w:customStyle="1" w:styleId="Clauseheading">
    <w:name w:val="Clause heading"/>
    <w:basedOn w:val="Normal"/>
    <w:next w:val="Normal"/>
    <w:uiPriority w:val="14"/>
    <w:semiHidden/>
    <w:qFormat/>
    <w:rsid w:val="0097427E"/>
    <w:pPr>
      <w:keepNext/>
      <w:widowControl/>
      <w:tabs>
        <w:tab w:val="left" w:pos="851"/>
      </w:tabs>
      <w:spacing w:after="120"/>
    </w:pPr>
    <w:rPr>
      <w:b/>
      <w:color w:val="2E3037"/>
      <w:sz w:val="20"/>
      <w:szCs w:val="20"/>
      <w:lang w:val="en-AU" w:bidi="ar-SA"/>
    </w:rPr>
  </w:style>
  <w:style w:type="paragraph" w:customStyle="1" w:styleId="ClauseList">
    <w:name w:val="Clause List"/>
    <w:basedOn w:val="Clause"/>
    <w:next w:val="Normal"/>
    <w:uiPriority w:val="14"/>
    <w:semiHidden/>
    <w:qFormat/>
    <w:rsid w:val="0097427E"/>
    <w:pPr>
      <w:tabs>
        <w:tab w:val="clear" w:pos="851"/>
      </w:tabs>
      <w:ind w:left="851" w:hanging="851"/>
    </w:pPr>
  </w:style>
  <w:style w:type="paragraph" w:customStyle="1" w:styleId="Definition">
    <w:name w:val="Definition"/>
    <w:basedOn w:val="Normal"/>
    <w:next w:val="Normal"/>
    <w:uiPriority w:val="15"/>
    <w:semiHidden/>
    <w:qFormat/>
    <w:rsid w:val="0097427E"/>
    <w:pPr>
      <w:widowControl/>
      <w:spacing w:after="120"/>
      <w:ind w:left="1701" w:hanging="851"/>
    </w:pPr>
    <w:rPr>
      <w:color w:val="2E3037"/>
      <w:sz w:val="20"/>
      <w:szCs w:val="20"/>
      <w:lang w:val="en-AU" w:bidi="ar-SA"/>
    </w:rPr>
  </w:style>
  <w:style w:type="paragraph" w:customStyle="1" w:styleId="DivisionHeading">
    <w:name w:val="Division Heading"/>
    <w:basedOn w:val="Normal"/>
    <w:next w:val="Normal"/>
    <w:uiPriority w:val="15"/>
    <w:semiHidden/>
    <w:qFormat/>
    <w:rsid w:val="0097427E"/>
    <w:pPr>
      <w:keepNext/>
      <w:widowControl/>
      <w:tabs>
        <w:tab w:val="left" w:pos="851"/>
      </w:tabs>
      <w:spacing w:after="120"/>
      <w:jc w:val="center"/>
    </w:pPr>
    <w:rPr>
      <w:b/>
      <w:color w:val="2E3037"/>
      <w:sz w:val="26"/>
      <w:szCs w:val="20"/>
      <w:lang w:val="en-AU" w:bidi="ar-SA"/>
    </w:rPr>
  </w:style>
  <w:style w:type="paragraph" w:customStyle="1" w:styleId="EditorialNoteLine1">
    <w:name w:val="Editorial Note Line 1"/>
    <w:basedOn w:val="Normal"/>
    <w:next w:val="Normal"/>
    <w:uiPriority w:val="16"/>
    <w:semiHidden/>
    <w:qFormat/>
    <w:rsid w:val="0097427E"/>
    <w:pPr>
      <w:keepNext/>
      <w:widowControl/>
      <w:pBdr>
        <w:top w:val="single" w:sz="6" w:space="0" w:color="auto"/>
        <w:left w:val="single" w:sz="6" w:space="0" w:color="auto"/>
        <w:bottom w:val="single" w:sz="6" w:space="0" w:color="auto"/>
        <w:right w:val="single" w:sz="6" w:space="0" w:color="auto"/>
      </w:pBdr>
      <w:tabs>
        <w:tab w:val="left" w:pos="851"/>
      </w:tabs>
      <w:spacing w:after="120"/>
    </w:pPr>
    <w:rPr>
      <w:b/>
      <w:color w:val="2E3037"/>
      <w:sz w:val="20"/>
      <w:szCs w:val="20"/>
      <w:lang w:val="en-AU" w:bidi="ar-SA"/>
    </w:rPr>
  </w:style>
  <w:style w:type="paragraph" w:customStyle="1" w:styleId="EditorialNotetext">
    <w:name w:val="Editorial Note text"/>
    <w:basedOn w:val="EditorialNoteLine1"/>
    <w:uiPriority w:val="16"/>
    <w:semiHidden/>
    <w:qFormat/>
    <w:rsid w:val="0097427E"/>
    <w:pPr>
      <w:keepNext w:val="0"/>
    </w:pPr>
    <w:rPr>
      <w:b w:val="0"/>
    </w:rPr>
  </w:style>
  <w:style w:type="character" w:customStyle="1" w:styleId="FooterChar">
    <w:name w:val="Footer Char"/>
    <w:aliases w:val="FSFooter Char"/>
    <w:basedOn w:val="DefaultParagraphFont"/>
    <w:link w:val="Footer"/>
    <w:uiPriority w:val="99"/>
    <w:rsid w:val="0097427E"/>
    <w:rPr>
      <w:rFonts w:ascii="Arial" w:hAnsi="Arial"/>
      <w:szCs w:val="24"/>
      <w:lang w:eastAsia="en-US" w:bidi="en-US"/>
    </w:rPr>
  </w:style>
  <w:style w:type="paragraph" w:customStyle="1" w:styleId="FSBulletlist">
    <w:name w:val="FSBullet list"/>
    <w:basedOn w:val="ListParagraph"/>
    <w:link w:val="FSBulletlistChar"/>
    <w:uiPriority w:val="5"/>
    <w:qFormat/>
    <w:locked/>
    <w:rsid w:val="0097427E"/>
    <w:pPr>
      <w:numPr>
        <w:numId w:val="6"/>
      </w:numPr>
      <w:spacing w:before="120"/>
      <w:ind w:left="714" w:hanging="357"/>
      <w:contextualSpacing w:val="0"/>
    </w:pPr>
    <w:rPr>
      <w:lang w:eastAsia="en-GB"/>
    </w:rPr>
  </w:style>
  <w:style w:type="character" w:customStyle="1" w:styleId="FSBulletlistChar">
    <w:name w:val="FSBullet list Char"/>
    <w:basedOn w:val="DefaultParagraphFont"/>
    <w:link w:val="FSBulletlist"/>
    <w:uiPriority w:val="5"/>
    <w:rsid w:val="0097427E"/>
    <w:rPr>
      <w:rFonts w:ascii="Arial" w:eastAsiaTheme="minorHAnsi" w:hAnsi="Arial" w:cs="Arial"/>
      <w:color w:val="2E3037"/>
      <w:sz w:val="22"/>
      <w:szCs w:val="22"/>
      <w:lang w:val="en-AU"/>
    </w:rPr>
  </w:style>
  <w:style w:type="paragraph" w:customStyle="1" w:styleId="FSCaption">
    <w:name w:val="FSCaption"/>
    <w:basedOn w:val="Normal"/>
    <w:uiPriority w:val="9"/>
    <w:qFormat/>
    <w:locked/>
    <w:rsid w:val="0097427E"/>
    <w:pPr>
      <w:keepNext/>
      <w:keepLines/>
      <w:widowControl/>
      <w:spacing w:before="120" w:after="120"/>
    </w:pPr>
    <w:rPr>
      <w:rFonts w:eastAsiaTheme="minorHAnsi" w:cs="Arial"/>
      <w:i/>
      <w:color w:val="2E3037"/>
      <w:sz w:val="20"/>
      <w:szCs w:val="16"/>
      <w:lang w:val="en-AU" w:bidi="ar-SA"/>
    </w:rPr>
  </w:style>
  <w:style w:type="paragraph" w:customStyle="1" w:styleId="FSCFootnote">
    <w:name w:val="FSCFootnote"/>
    <w:basedOn w:val="Normal"/>
    <w:next w:val="Normal"/>
    <w:uiPriority w:val="17"/>
    <w:semiHidden/>
    <w:qFormat/>
    <w:locked/>
    <w:rsid w:val="0097427E"/>
    <w:pPr>
      <w:widowControl/>
      <w:tabs>
        <w:tab w:val="center" w:pos="4536"/>
        <w:tab w:val="right" w:pos="9070"/>
      </w:tabs>
      <w:spacing w:after="120"/>
    </w:pPr>
    <w:rPr>
      <w:color w:val="2E3037"/>
      <w:sz w:val="18"/>
      <w:szCs w:val="18"/>
      <w:lang w:val="en-AU" w:bidi="ar-SA"/>
    </w:rPr>
  </w:style>
  <w:style w:type="paragraph" w:customStyle="1" w:styleId="FSCFooter0">
    <w:name w:val="FSCFooter"/>
    <w:basedOn w:val="FSCFootnote"/>
    <w:uiPriority w:val="17"/>
    <w:semiHidden/>
    <w:qFormat/>
    <w:locked/>
    <w:rsid w:val="0097427E"/>
  </w:style>
  <w:style w:type="paragraph" w:customStyle="1" w:styleId="FSPagenumber">
    <w:name w:val="FSPage number"/>
    <w:basedOn w:val="Normal"/>
    <w:uiPriority w:val="3"/>
    <w:semiHidden/>
    <w:qFormat/>
    <w:locked/>
    <w:rsid w:val="0097427E"/>
    <w:pPr>
      <w:widowControl/>
      <w:spacing w:after="120"/>
      <w:jc w:val="center"/>
    </w:pPr>
    <w:rPr>
      <w:rFonts w:eastAsiaTheme="minorHAnsi" w:cs="Arial"/>
      <w:color w:val="2E3037"/>
      <w:sz w:val="20"/>
      <w:szCs w:val="20"/>
      <w:lang w:val="en-AU" w:bidi="ar-SA"/>
    </w:rPr>
  </w:style>
  <w:style w:type="paragraph" w:customStyle="1" w:styleId="FSTableColumnRowheading">
    <w:name w:val="FSTable Column/Row heading"/>
    <w:basedOn w:val="Normal"/>
    <w:uiPriority w:val="8"/>
    <w:semiHidden/>
    <w:qFormat/>
    <w:locked/>
    <w:rsid w:val="0097427E"/>
    <w:pPr>
      <w:widowControl/>
      <w:spacing w:before="120" w:after="120"/>
    </w:pPr>
    <w:rPr>
      <w:rFonts w:eastAsiaTheme="minorHAnsi" w:cs="Arial"/>
      <w:b/>
      <w:color w:val="2E3037"/>
      <w:sz w:val="20"/>
      <w:szCs w:val="20"/>
      <w:lang w:val="en-AU" w:bidi="ar-SA"/>
    </w:rPr>
  </w:style>
  <w:style w:type="paragraph" w:customStyle="1" w:styleId="FSTableFigureHeading">
    <w:name w:val="FSTable/Figure Heading"/>
    <w:basedOn w:val="Normal"/>
    <w:uiPriority w:val="7"/>
    <w:qFormat/>
    <w:locked/>
    <w:rsid w:val="0097427E"/>
    <w:pPr>
      <w:widowControl/>
      <w:spacing w:before="120" w:after="120"/>
      <w:ind w:left="1134" w:hanging="1134"/>
    </w:pPr>
    <w:rPr>
      <w:rFonts w:eastAsiaTheme="minorHAnsi" w:cs="Arial"/>
      <w:b/>
      <w:color w:val="2E3037"/>
      <w:szCs w:val="22"/>
      <w:lang w:val="en-AU" w:bidi="ar-SA"/>
    </w:rPr>
  </w:style>
  <w:style w:type="paragraph" w:customStyle="1" w:styleId="Paragraph">
    <w:name w:val="Paragraph"/>
    <w:basedOn w:val="Clause"/>
    <w:next w:val="Normal"/>
    <w:uiPriority w:val="12"/>
    <w:semiHidden/>
    <w:qFormat/>
    <w:rsid w:val="0097427E"/>
    <w:pPr>
      <w:tabs>
        <w:tab w:val="clear" w:pos="851"/>
      </w:tabs>
      <w:ind w:left="1702" w:hanging="851"/>
    </w:pPr>
  </w:style>
  <w:style w:type="paragraph" w:customStyle="1" w:styleId="ScheduleHeading">
    <w:name w:val="Schedule Heading"/>
    <w:basedOn w:val="Normal"/>
    <w:next w:val="Normal"/>
    <w:uiPriority w:val="18"/>
    <w:semiHidden/>
    <w:qFormat/>
    <w:rsid w:val="0097427E"/>
    <w:pPr>
      <w:widowControl/>
      <w:tabs>
        <w:tab w:val="left" w:pos="851"/>
      </w:tabs>
      <w:spacing w:after="120"/>
      <w:jc w:val="center"/>
    </w:pPr>
    <w:rPr>
      <w:b/>
      <w:caps/>
      <w:color w:val="2E3037"/>
      <w:sz w:val="20"/>
      <w:szCs w:val="20"/>
      <w:lang w:val="en-AU" w:bidi="ar-SA"/>
    </w:rPr>
  </w:style>
  <w:style w:type="paragraph" w:customStyle="1" w:styleId="Standardtitle">
    <w:name w:val="Standard title"/>
    <w:basedOn w:val="Normal"/>
    <w:uiPriority w:val="18"/>
    <w:semiHidden/>
    <w:qFormat/>
    <w:rsid w:val="0097427E"/>
    <w:pPr>
      <w:keepNext/>
      <w:widowControl/>
      <w:tabs>
        <w:tab w:val="left" w:pos="851"/>
      </w:tabs>
      <w:spacing w:after="120"/>
      <w:jc w:val="center"/>
    </w:pPr>
    <w:rPr>
      <w:b/>
      <w:i/>
      <w:iCs/>
      <w:caps/>
      <w:color w:val="2E3037"/>
      <w:sz w:val="28"/>
      <w:szCs w:val="20"/>
      <w:lang w:val="en-AU" w:bidi="ar-SA"/>
    </w:rPr>
  </w:style>
  <w:style w:type="paragraph" w:customStyle="1" w:styleId="Subclause">
    <w:name w:val="Subclause"/>
    <w:basedOn w:val="Clause"/>
    <w:uiPriority w:val="11"/>
    <w:semiHidden/>
    <w:qFormat/>
    <w:rsid w:val="0097427E"/>
    <w:pPr>
      <w:ind w:left="567" w:hanging="567"/>
    </w:pPr>
  </w:style>
  <w:style w:type="paragraph" w:customStyle="1" w:styleId="Subparagraph">
    <w:name w:val="Subparagraph"/>
    <w:basedOn w:val="Paragraph"/>
    <w:next w:val="Normal"/>
    <w:uiPriority w:val="13"/>
    <w:semiHidden/>
    <w:qFormat/>
    <w:rsid w:val="0097427E"/>
    <w:pPr>
      <w:ind w:left="2553"/>
    </w:pPr>
  </w:style>
  <w:style w:type="paragraph" w:customStyle="1" w:styleId="Table1">
    <w:name w:val="Table 1"/>
    <w:basedOn w:val="Normal"/>
    <w:uiPriority w:val="20"/>
    <w:semiHidden/>
    <w:qFormat/>
    <w:rsid w:val="0097427E"/>
    <w:pPr>
      <w:keepNext/>
      <w:widowControl/>
      <w:spacing w:after="120"/>
      <w:jc w:val="center"/>
    </w:pPr>
    <w:rPr>
      <w:b/>
      <w:bCs/>
      <w:color w:val="2E3037"/>
      <w:sz w:val="18"/>
      <w:szCs w:val="20"/>
      <w:lang w:val="en-AU" w:bidi="ar-SA"/>
    </w:rPr>
  </w:style>
  <w:style w:type="paragraph" w:customStyle="1" w:styleId="TitleBorder">
    <w:name w:val="TitleBorder"/>
    <w:basedOn w:val="Normal"/>
    <w:uiPriority w:val="19"/>
    <w:semiHidden/>
    <w:qFormat/>
    <w:rsid w:val="0097427E"/>
    <w:pPr>
      <w:widowControl/>
      <w:pBdr>
        <w:bottom w:val="double" w:sz="6" w:space="0" w:color="auto"/>
      </w:pBdr>
      <w:tabs>
        <w:tab w:val="left" w:pos="851"/>
      </w:tabs>
      <w:spacing w:after="120"/>
    </w:pPr>
    <w:rPr>
      <w:color w:val="2E3037"/>
      <w:sz w:val="20"/>
      <w:szCs w:val="20"/>
      <w:lang w:val="en-AU" w:bidi="ar-SA"/>
    </w:rPr>
  </w:style>
  <w:style w:type="paragraph" w:styleId="NoSpacing">
    <w:name w:val="No Spacing"/>
    <w:uiPriority w:val="20"/>
    <w:rsid w:val="0097427E"/>
    <w:pPr>
      <w:widowControl w:val="0"/>
    </w:pPr>
    <w:rPr>
      <w:rFonts w:ascii="Arial" w:eastAsiaTheme="minorHAnsi" w:hAnsi="Arial" w:cstheme="minorBidi"/>
      <w:color w:val="2E3037"/>
      <w:sz w:val="22"/>
      <w:szCs w:val="22"/>
      <w:lang w:eastAsia="en-US"/>
    </w:rPr>
  </w:style>
  <w:style w:type="paragraph" w:styleId="Subtitle">
    <w:name w:val="Subtitle"/>
    <w:basedOn w:val="Normal"/>
    <w:next w:val="Normal"/>
    <w:link w:val="SubtitleChar"/>
    <w:uiPriority w:val="1"/>
    <w:rsid w:val="0097427E"/>
    <w:pPr>
      <w:widowControl/>
      <w:numPr>
        <w:ilvl w:val="1"/>
      </w:numPr>
      <w:pBdr>
        <w:bottom w:val="single" w:sz="12" w:space="6" w:color="2E3037"/>
      </w:pBdr>
      <w:spacing w:after="120"/>
    </w:pPr>
    <w:rPr>
      <w:rFonts w:eastAsiaTheme="majorEastAsia" w:cstheme="majorBidi"/>
      <w:iCs/>
      <w:color w:val="2E3037"/>
      <w:spacing w:val="15"/>
      <w:sz w:val="28"/>
      <w:lang w:val="en-AU" w:bidi="ar-SA"/>
    </w:rPr>
  </w:style>
  <w:style w:type="character" w:customStyle="1" w:styleId="SubtitleChar">
    <w:name w:val="Subtitle Char"/>
    <w:basedOn w:val="DefaultParagraphFont"/>
    <w:link w:val="Subtitle"/>
    <w:uiPriority w:val="1"/>
    <w:rsid w:val="0097427E"/>
    <w:rPr>
      <w:rFonts w:ascii="Arial" w:eastAsiaTheme="majorEastAsia" w:hAnsi="Arial" w:cstheme="majorBidi"/>
      <w:iCs/>
      <w:color w:val="2E3037"/>
      <w:spacing w:val="15"/>
      <w:sz w:val="28"/>
      <w:szCs w:val="24"/>
      <w:lang w:val="en-AU" w:eastAsia="en-US"/>
    </w:rPr>
  </w:style>
  <w:style w:type="character" w:styleId="IntenseEmphasis">
    <w:name w:val="Intense Emphasis"/>
    <w:basedOn w:val="DefaultParagraphFont"/>
    <w:uiPriority w:val="21"/>
    <w:rsid w:val="0097427E"/>
    <w:rPr>
      <w:b/>
      <w:bCs/>
      <w:i/>
      <w:iCs/>
      <w:color w:val="4F81BD" w:themeColor="accent1"/>
    </w:rPr>
  </w:style>
  <w:style w:type="paragraph" w:styleId="ListParagraph">
    <w:name w:val="List Paragraph"/>
    <w:basedOn w:val="Normal"/>
    <w:uiPriority w:val="34"/>
    <w:qFormat/>
    <w:rsid w:val="0097427E"/>
    <w:pPr>
      <w:widowControl/>
      <w:spacing w:after="120"/>
      <w:ind w:left="720"/>
      <w:contextualSpacing/>
    </w:pPr>
    <w:rPr>
      <w:rFonts w:eastAsiaTheme="minorHAnsi" w:cs="Arial"/>
      <w:color w:val="2E3037"/>
      <w:szCs w:val="22"/>
      <w:lang w:val="en-AU" w:bidi="ar-SA"/>
    </w:rPr>
  </w:style>
  <w:style w:type="paragraph" w:customStyle="1" w:styleId="NonTOCheading2">
    <w:name w:val="Non TOC heading 2"/>
    <w:basedOn w:val="Heading2"/>
    <w:next w:val="Normal"/>
    <w:uiPriority w:val="2"/>
    <w:rsid w:val="0097427E"/>
    <w:pPr>
      <w:keepLines/>
      <w:widowControl/>
      <w:numPr>
        <w:numId w:val="5"/>
      </w:numPr>
      <w:spacing w:before="360" w:after="360"/>
    </w:pPr>
    <w:rPr>
      <w:rFonts w:eastAsia="Calibri" w:cs="Times New Roman"/>
      <w:bCs w:val="0"/>
      <w:color w:val="0E495D"/>
      <w:sz w:val="38"/>
      <w:szCs w:val="38"/>
      <w:lang w:val="en-AU"/>
    </w:rPr>
  </w:style>
  <w:style w:type="paragraph" w:styleId="Title">
    <w:name w:val="Title"/>
    <w:basedOn w:val="Heading1"/>
    <w:next w:val="Heading1"/>
    <w:link w:val="TitleChar"/>
    <w:uiPriority w:val="1"/>
    <w:rsid w:val="0097427E"/>
    <w:pPr>
      <w:widowControl/>
      <w:spacing w:before="0" w:after="120"/>
      <w:ind w:left="0" w:firstLine="0"/>
    </w:pPr>
    <w:rPr>
      <w:rFonts w:eastAsia="Calibri" w:cstheme="majorBidi"/>
      <w:b w:val="0"/>
      <w:color w:val="0E495D"/>
      <w:sz w:val="48"/>
      <w:lang w:val="en-AU"/>
    </w:rPr>
  </w:style>
  <w:style w:type="character" w:customStyle="1" w:styleId="TitleChar">
    <w:name w:val="Title Char"/>
    <w:basedOn w:val="DefaultParagraphFont"/>
    <w:link w:val="Title"/>
    <w:uiPriority w:val="1"/>
    <w:rsid w:val="0097427E"/>
    <w:rPr>
      <w:rFonts w:ascii="Arial" w:eastAsia="Calibri" w:hAnsi="Arial" w:cstheme="majorBidi"/>
      <w:bCs/>
      <w:color w:val="0E495D"/>
      <w:sz w:val="48"/>
      <w:szCs w:val="28"/>
      <w:lang w:val="en-AU" w:eastAsia="en-US"/>
    </w:rPr>
  </w:style>
  <w:style w:type="character" w:styleId="PlaceholderText">
    <w:name w:val="Placeholder Text"/>
    <w:basedOn w:val="DefaultParagraphFont"/>
    <w:uiPriority w:val="99"/>
    <w:semiHidden/>
    <w:rsid w:val="0097427E"/>
    <w:rPr>
      <w:color w:val="808080"/>
    </w:rPr>
  </w:style>
  <w:style w:type="table" w:customStyle="1" w:styleId="Table">
    <w:name w:val="Table"/>
    <w:basedOn w:val="TableNormal"/>
    <w:uiPriority w:val="99"/>
    <w:rsid w:val="0097427E"/>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FSNumberlist">
    <w:name w:val="FSNumber list"/>
    <w:basedOn w:val="FSBulletlist"/>
    <w:uiPriority w:val="5"/>
    <w:qFormat/>
    <w:rsid w:val="0097427E"/>
    <w:pPr>
      <w:numPr>
        <w:numId w:val="7"/>
      </w:numPr>
    </w:pPr>
  </w:style>
  <w:style w:type="character" w:customStyle="1" w:styleId="BalloonTextChar">
    <w:name w:val="Balloon Text Char"/>
    <w:basedOn w:val="DefaultParagraphFont"/>
    <w:link w:val="BalloonText"/>
    <w:uiPriority w:val="99"/>
    <w:semiHidden/>
    <w:rsid w:val="0097427E"/>
    <w:rPr>
      <w:rFonts w:ascii="Tahoma" w:hAnsi="Tahoma" w:cs="Tahoma"/>
      <w:sz w:val="16"/>
      <w:szCs w:val="16"/>
      <w:lang w:eastAsia="en-US" w:bidi="en-US"/>
    </w:rPr>
  </w:style>
  <w:style w:type="paragraph" w:styleId="Caption">
    <w:name w:val="caption"/>
    <w:basedOn w:val="Normal"/>
    <w:next w:val="Normal"/>
    <w:uiPriority w:val="35"/>
    <w:unhideWhenUsed/>
    <w:qFormat/>
    <w:rsid w:val="0097427E"/>
    <w:pPr>
      <w:widowControl/>
      <w:spacing w:after="200"/>
    </w:pPr>
    <w:rPr>
      <w:rFonts w:eastAsiaTheme="minorHAnsi" w:cs="Arial"/>
      <w:i/>
      <w:iCs/>
      <w:color w:val="1F497D" w:themeColor="text2"/>
      <w:sz w:val="18"/>
      <w:szCs w:val="18"/>
      <w:lang w:val="en-AU" w:bidi="ar-SA"/>
    </w:rPr>
  </w:style>
  <w:style w:type="paragraph" w:styleId="CommentSubject">
    <w:name w:val="annotation subject"/>
    <w:basedOn w:val="CommentText"/>
    <w:next w:val="CommentText"/>
    <w:link w:val="CommentSubjectChar"/>
    <w:uiPriority w:val="99"/>
    <w:semiHidden/>
    <w:rsid w:val="0097427E"/>
    <w:pPr>
      <w:widowControl/>
      <w:spacing w:after="240"/>
    </w:pPr>
    <w:rPr>
      <w:rFonts w:eastAsiaTheme="minorHAnsi" w:cs="Arial"/>
      <w:b/>
      <w:bCs/>
      <w:color w:val="2E3037"/>
      <w:lang w:val="en-AU" w:bidi="ar-SA"/>
    </w:rPr>
  </w:style>
  <w:style w:type="character" w:customStyle="1" w:styleId="CommentSubjectChar">
    <w:name w:val="Comment Subject Char"/>
    <w:basedOn w:val="CommentTextChar"/>
    <w:link w:val="CommentSubject"/>
    <w:uiPriority w:val="99"/>
    <w:semiHidden/>
    <w:rsid w:val="0097427E"/>
    <w:rPr>
      <w:rFonts w:ascii="Arial" w:eastAsiaTheme="minorHAnsi" w:hAnsi="Arial" w:cs="Arial"/>
      <w:b/>
      <w:bCs/>
      <w:color w:val="2E3037"/>
      <w:lang w:val="en-AU" w:eastAsia="en-US" w:bidi="en-US"/>
    </w:rPr>
  </w:style>
  <w:style w:type="paragraph" w:styleId="Revision">
    <w:name w:val="Revision"/>
    <w:hidden/>
    <w:uiPriority w:val="99"/>
    <w:semiHidden/>
    <w:rsid w:val="0097427E"/>
    <w:rPr>
      <w:rFonts w:ascii="Arial" w:eastAsiaTheme="minorHAnsi" w:hAnsi="Arial" w:cs="Arial"/>
      <w:color w:val="2E3037"/>
      <w:sz w:val="22"/>
      <w:szCs w:val="22"/>
      <w:lang w:val="en-AU" w:eastAsia="en-US"/>
    </w:rPr>
  </w:style>
  <w:style w:type="paragraph" w:customStyle="1" w:styleId="CitaviBibliographyEntry">
    <w:name w:val="Citavi Bibliography Entry"/>
    <w:basedOn w:val="Normal"/>
    <w:link w:val="CitaviBibliographyEntryChar"/>
    <w:rsid w:val="00887453"/>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887453"/>
    <w:rPr>
      <w:rFonts w:ascii="Arial" w:eastAsiaTheme="minorHAnsi" w:hAnsi="Arial" w:cstheme="minorBidi"/>
      <w:sz w:val="22"/>
      <w:szCs w:val="22"/>
      <w:lang w:eastAsia="en-US"/>
    </w:rPr>
  </w:style>
  <w:style w:type="paragraph" w:customStyle="1" w:styleId="CitaviBibliographyHeading">
    <w:name w:val="Citavi Bibliography Heading"/>
    <w:basedOn w:val="Heading1"/>
    <w:link w:val="CitaviBibliographyHeadingChar"/>
    <w:rsid w:val="000A7661"/>
  </w:style>
  <w:style w:type="character" w:customStyle="1" w:styleId="CitaviBibliographyHeadingChar">
    <w:name w:val="Citavi Bibliography Heading Char"/>
    <w:basedOn w:val="DefaultParagraphFont"/>
    <w:link w:val="CitaviBibliographyHeading"/>
    <w:rsid w:val="000A7661"/>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0A7661"/>
    <w:pPr>
      <w:tabs>
        <w:tab w:val="left" w:pos="993"/>
      </w:tabs>
      <w:outlineLvl w:val="9"/>
    </w:pPr>
  </w:style>
  <w:style w:type="character" w:customStyle="1" w:styleId="CitaviBibliographySubheading1Char">
    <w:name w:val="Citavi Bibliography Subheading 1 Char"/>
    <w:basedOn w:val="DefaultParagraphFont"/>
    <w:link w:val="CitaviBibliographySubheading1"/>
    <w:rsid w:val="000A7661"/>
    <w:rPr>
      <w:rFonts w:ascii="Arial" w:hAnsi="Arial" w:cs="Arial"/>
      <w:b/>
      <w:bCs/>
      <w:sz w:val="28"/>
      <w:szCs w:val="22"/>
      <w:lang w:eastAsia="en-US"/>
    </w:rPr>
  </w:style>
  <w:style w:type="paragraph" w:customStyle="1" w:styleId="CitaviBibliographySubheading2">
    <w:name w:val="Citavi Bibliography Subheading 2"/>
    <w:basedOn w:val="Heading3"/>
    <w:link w:val="CitaviBibliographySubheading2Char"/>
    <w:rsid w:val="000A7661"/>
    <w:pPr>
      <w:tabs>
        <w:tab w:val="left" w:pos="993"/>
      </w:tabs>
      <w:outlineLvl w:val="9"/>
    </w:pPr>
  </w:style>
  <w:style w:type="character" w:customStyle="1" w:styleId="CitaviBibliographySubheading2Char">
    <w:name w:val="Citavi Bibliography Subheading 2 Char"/>
    <w:basedOn w:val="DefaultParagraphFont"/>
    <w:link w:val="CitaviBibliographySubheading2"/>
    <w:rsid w:val="000A7661"/>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0A7661"/>
    <w:pPr>
      <w:tabs>
        <w:tab w:val="left" w:pos="993"/>
      </w:tabs>
      <w:outlineLvl w:val="9"/>
    </w:pPr>
  </w:style>
  <w:style w:type="character" w:customStyle="1" w:styleId="CitaviBibliographySubheading3Char">
    <w:name w:val="Citavi Bibliography Subheading 3 Char"/>
    <w:basedOn w:val="DefaultParagraphFont"/>
    <w:link w:val="CitaviBibliographySubheading3"/>
    <w:rsid w:val="000A7661"/>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0A7661"/>
    <w:pPr>
      <w:tabs>
        <w:tab w:val="left" w:pos="993"/>
      </w:tabs>
      <w:outlineLvl w:val="9"/>
    </w:pPr>
  </w:style>
  <w:style w:type="character" w:customStyle="1" w:styleId="CitaviBibliographySubheading4Char">
    <w:name w:val="Citavi Bibliography Subheading 4 Char"/>
    <w:basedOn w:val="DefaultParagraphFont"/>
    <w:link w:val="CitaviBibliographySubheading4"/>
    <w:rsid w:val="000A7661"/>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0A7661"/>
    <w:pPr>
      <w:tabs>
        <w:tab w:val="left" w:pos="993"/>
      </w:tabs>
      <w:outlineLvl w:val="9"/>
    </w:pPr>
  </w:style>
  <w:style w:type="character" w:customStyle="1" w:styleId="CitaviBibliographySubheading5Char">
    <w:name w:val="Citavi Bibliography Subheading 5 Char"/>
    <w:basedOn w:val="DefaultParagraphFont"/>
    <w:link w:val="CitaviBibliographySubheading5"/>
    <w:rsid w:val="000A7661"/>
    <w:rPr>
      <w:rFonts w:ascii="Arial" w:hAnsi="Arial" w:cs="Arial Unicode MS"/>
      <w:b/>
      <w:bCs/>
      <w:sz w:val="22"/>
      <w:szCs w:val="22"/>
      <w:lang w:eastAsia="en-US" w:bidi="en-US"/>
    </w:rPr>
  </w:style>
  <w:style w:type="paragraph" w:customStyle="1" w:styleId="CitaviBibliographySubheading6">
    <w:name w:val="Citavi Bibliography Subheading 6"/>
    <w:basedOn w:val="Heading7"/>
    <w:link w:val="CitaviBibliographySubheading6Char"/>
    <w:rsid w:val="000A7661"/>
    <w:pPr>
      <w:tabs>
        <w:tab w:val="left" w:pos="993"/>
      </w:tabs>
      <w:outlineLvl w:val="9"/>
    </w:pPr>
  </w:style>
  <w:style w:type="character" w:customStyle="1" w:styleId="CitaviBibliographySubheading6Char">
    <w:name w:val="Citavi Bibliography Subheading 6 Char"/>
    <w:basedOn w:val="DefaultParagraphFont"/>
    <w:link w:val="CitaviBibliographySubheading6"/>
    <w:rsid w:val="000A7661"/>
    <w:rPr>
      <w:rFonts w:ascii="Arial" w:hAnsi="Arial"/>
      <w:sz w:val="22"/>
      <w:szCs w:val="24"/>
      <w:lang w:eastAsia="en-US" w:bidi="en-US"/>
    </w:rPr>
  </w:style>
  <w:style w:type="paragraph" w:customStyle="1" w:styleId="CitaviBibliographySubheading7">
    <w:name w:val="Citavi Bibliography Subheading 7"/>
    <w:basedOn w:val="Heading8"/>
    <w:link w:val="CitaviBibliographySubheading7Char"/>
    <w:rsid w:val="000A7661"/>
    <w:pPr>
      <w:tabs>
        <w:tab w:val="left" w:pos="993"/>
      </w:tabs>
      <w:outlineLvl w:val="9"/>
    </w:pPr>
  </w:style>
  <w:style w:type="character" w:customStyle="1" w:styleId="CitaviBibliographySubheading7Char">
    <w:name w:val="Citavi Bibliography Subheading 7 Char"/>
    <w:basedOn w:val="DefaultParagraphFont"/>
    <w:link w:val="CitaviBibliographySubheading7"/>
    <w:rsid w:val="000A7661"/>
    <w:rPr>
      <w:rFonts w:ascii="Arial" w:hAnsi="Arial"/>
      <w:i/>
      <w:iCs/>
      <w:sz w:val="22"/>
      <w:szCs w:val="24"/>
      <w:lang w:eastAsia="en-US" w:bidi="en-US"/>
    </w:rPr>
  </w:style>
  <w:style w:type="paragraph" w:customStyle="1" w:styleId="CitaviBibliographySubheading8">
    <w:name w:val="Citavi Bibliography Subheading 8"/>
    <w:basedOn w:val="Heading9"/>
    <w:link w:val="CitaviBibliographySubheading8Char"/>
    <w:rsid w:val="000A7661"/>
    <w:pPr>
      <w:tabs>
        <w:tab w:val="left" w:pos="993"/>
      </w:tabs>
      <w:outlineLvl w:val="9"/>
    </w:pPr>
  </w:style>
  <w:style w:type="character" w:customStyle="1" w:styleId="CitaviBibliographySubheading8Char">
    <w:name w:val="Citavi Bibliography Subheading 8 Char"/>
    <w:basedOn w:val="DefaultParagraphFont"/>
    <w:link w:val="CitaviBibliographySubheading8"/>
    <w:rsid w:val="000A7661"/>
    <w:rPr>
      <w:rFonts w:ascii="Cambria" w:hAnsi="Cambria"/>
      <w:sz w:val="22"/>
      <w:szCs w:val="22"/>
      <w:lang w:eastAsia="en-US" w:bidi="en-US"/>
    </w:rPr>
  </w:style>
  <w:style w:type="paragraph" w:styleId="Bibliography">
    <w:name w:val="Bibliography"/>
    <w:basedOn w:val="Normal"/>
    <w:next w:val="Normal"/>
    <w:uiPriority w:val="37"/>
    <w:semiHidden/>
    <w:unhideWhenUsed/>
    <w:rsid w:val="002F200C"/>
  </w:style>
  <w:style w:type="character" w:styleId="BookTitle">
    <w:name w:val="Book Title"/>
    <w:basedOn w:val="DefaultParagraphFont"/>
    <w:uiPriority w:val="33"/>
    <w:rsid w:val="002F200C"/>
    <w:rPr>
      <w:b/>
      <w:bCs/>
      <w:i/>
      <w:iCs/>
      <w:spacing w:val="5"/>
    </w:rPr>
  </w:style>
  <w:style w:type="character" w:styleId="IntenseReference">
    <w:name w:val="Intense Reference"/>
    <w:basedOn w:val="DefaultParagraphFont"/>
    <w:uiPriority w:val="32"/>
    <w:rsid w:val="002F200C"/>
    <w:rPr>
      <w:b/>
      <w:bCs/>
      <w:smallCaps/>
      <w:color w:val="4F81BD" w:themeColor="accent1"/>
      <w:spacing w:val="5"/>
    </w:rPr>
  </w:style>
  <w:style w:type="character" w:styleId="SubtleReference">
    <w:name w:val="Subtle Reference"/>
    <w:basedOn w:val="DefaultParagraphFont"/>
    <w:uiPriority w:val="31"/>
    <w:rsid w:val="002F200C"/>
    <w:rPr>
      <w:smallCaps/>
      <w:color w:val="5A5A5A" w:themeColor="text1" w:themeTint="A5"/>
    </w:rPr>
  </w:style>
  <w:style w:type="character" w:styleId="SubtleEmphasis">
    <w:name w:val="Subtle Emphasis"/>
    <w:basedOn w:val="DefaultParagraphFont"/>
    <w:uiPriority w:val="19"/>
    <w:rsid w:val="002F200C"/>
    <w:rPr>
      <w:i/>
      <w:iCs/>
      <w:color w:val="404040" w:themeColor="text1" w:themeTint="BF"/>
    </w:rPr>
  </w:style>
  <w:style w:type="paragraph" w:styleId="IntenseQuote">
    <w:name w:val="Intense Quote"/>
    <w:basedOn w:val="Normal"/>
    <w:next w:val="Normal"/>
    <w:link w:val="IntenseQuoteChar"/>
    <w:uiPriority w:val="30"/>
    <w:rsid w:val="002F20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200C"/>
    <w:rPr>
      <w:rFonts w:ascii="Arial" w:hAnsi="Arial"/>
      <w:i/>
      <w:iCs/>
      <w:color w:val="4F81BD" w:themeColor="accent1"/>
      <w:sz w:val="22"/>
      <w:szCs w:val="24"/>
      <w:lang w:eastAsia="en-US" w:bidi="en-US"/>
    </w:rPr>
  </w:style>
  <w:style w:type="paragraph" w:styleId="Quote">
    <w:name w:val="Quote"/>
    <w:basedOn w:val="Normal"/>
    <w:next w:val="Normal"/>
    <w:link w:val="QuoteChar"/>
    <w:uiPriority w:val="29"/>
    <w:rsid w:val="002F20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200C"/>
    <w:rPr>
      <w:rFonts w:ascii="Arial" w:hAnsi="Arial"/>
      <w:i/>
      <w:iCs/>
      <w:color w:val="404040" w:themeColor="text1" w:themeTint="BF"/>
      <w:sz w:val="22"/>
      <w:szCs w:val="24"/>
      <w:lang w:eastAsia="en-US" w:bidi="en-US"/>
    </w:rPr>
  </w:style>
  <w:style w:type="table" w:styleId="MediumList1-Accent1">
    <w:name w:val="Medium List 1 Accent 1"/>
    <w:basedOn w:val="TableNormal"/>
    <w:uiPriority w:val="65"/>
    <w:semiHidden/>
    <w:unhideWhenUsed/>
    <w:rsid w:val="002F200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2F20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2F200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2F20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2F20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
    <w:name w:val="Colorful Grid"/>
    <w:basedOn w:val="TableNormal"/>
    <w:uiPriority w:val="73"/>
    <w:semiHidden/>
    <w:unhideWhenUsed/>
    <w:rsid w:val="002F200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2F200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2F200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F200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2F200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2F20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2F20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2F200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2F200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2F200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2F200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2F20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2F20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2F20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semiHidden/>
    <w:unhideWhenUsed/>
    <w:rsid w:val="002F200C"/>
    <w:rPr>
      <w:i/>
      <w:iCs/>
    </w:rPr>
  </w:style>
  <w:style w:type="character" w:styleId="HTMLTypewriter">
    <w:name w:val="HTML Typewriter"/>
    <w:basedOn w:val="DefaultParagraphFont"/>
    <w:semiHidden/>
    <w:unhideWhenUsed/>
    <w:rsid w:val="002F200C"/>
    <w:rPr>
      <w:rFonts w:ascii="Consolas" w:hAnsi="Consolas"/>
      <w:sz w:val="20"/>
      <w:szCs w:val="20"/>
    </w:rPr>
  </w:style>
  <w:style w:type="character" w:styleId="HTMLSample">
    <w:name w:val="HTML Sample"/>
    <w:basedOn w:val="DefaultParagraphFont"/>
    <w:semiHidden/>
    <w:unhideWhenUsed/>
    <w:rsid w:val="002F200C"/>
    <w:rPr>
      <w:rFonts w:ascii="Consolas" w:hAnsi="Consolas"/>
      <w:sz w:val="24"/>
      <w:szCs w:val="24"/>
    </w:rPr>
  </w:style>
  <w:style w:type="paragraph" w:styleId="HTMLPreformatted">
    <w:name w:val="HTML Preformatted"/>
    <w:basedOn w:val="Normal"/>
    <w:link w:val="HTMLPreformattedChar"/>
    <w:semiHidden/>
    <w:unhideWhenUsed/>
    <w:rsid w:val="002F200C"/>
    <w:rPr>
      <w:rFonts w:ascii="Consolas" w:hAnsi="Consolas"/>
      <w:sz w:val="20"/>
      <w:szCs w:val="20"/>
    </w:rPr>
  </w:style>
  <w:style w:type="character" w:customStyle="1" w:styleId="HTMLPreformattedChar">
    <w:name w:val="HTML Preformatted Char"/>
    <w:basedOn w:val="DefaultParagraphFont"/>
    <w:link w:val="HTMLPreformatted"/>
    <w:semiHidden/>
    <w:rsid w:val="002F200C"/>
    <w:rPr>
      <w:rFonts w:ascii="Consolas" w:hAnsi="Consolas"/>
      <w:lang w:eastAsia="en-US" w:bidi="en-US"/>
    </w:rPr>
  </w:style>
  <w:style w:type="character" w:styleId="HTMLKeyboard">
    <w:name w:val="HTML Keyboard"/>
    <w:basedOn w:val="DefaultParagraphFont"/>
    <w:semiHidden/>
    <w:unhideWhenUsed/>
    <w:rsid w:val="002F200C"/>
    <w:rPr>
      <w:rFonts w:ascii="Consolas" w:hAnsi="Consolas"/>
      <w:sz w:val="20"/>
      <w:szCs w:val="20"/>
    </w:rPr>
  </w:style>
  <w:style w:type="character" w:styleId="HTMLDefinition">
    <w:name w:val="HTML Definition"/>
    <w:basedOn w:val="DefaultParagraphFont"/>
    <w:semiHidden/>
    <w:unhideWhenUsed/>
    <w:rsid w:val="002F200C"/>
    <w:rPr>
      <w:i/>
      <w:iCs/>
    </w:rPr>
  </w:style>
  <w:style w:type="character" w:styleId="HTMLCode">
    <w:name w:val="HTML Code"/>
    <w:basedOn w:val="DefaultParagraphFont"/>
    <w:semiHidden/>
    <w:unhideWhenUsed/>
    <w:rsid w:val="002F200C"/>
    <w:rPr>
      <w:rFonts w:ascii="Consolas" w:hAnsi="Consolas"/>
      <w:sz w:val="20"/>
      <w:szCs w:val="20"/>
    </w:rPr>
  </w:style>
  <w:style w:type="character" w:styleId="HTMLCite">
    <w:name w:val="HTML Cite"/>
    <w:basedOn w:val="DefaultParagraphFont"/>
    <w:semiHidden/>
    <w:unhideWhenUsed/>
    <w:rsid w:val="002F200C"/>
    <w:rPr>
      <w:i/>
      <w:iCs/>
    </w:rPr>
  </w:style>
  <w:style w:type="paragraph" w:styleId="HTMLAddress">
    <w:name w:val="HTML Address"/>
    <w:basedOn w:val="Normal"/>
    <w:link w:val="HTMLAddressChar"/>
    <w:semiHidden/>
    <w:unhideWhenUsed/>
    <w:rsid w:val="002F200C"/>
    <w:rPr>
      <w:i/>
      <w:iCs/>
    </w:rPr>
  </w:style>
  <w:style w:type="character" w:customStyle="1" w:styleId="HTMLAddressChar">
    <w:name w:val="HTML Address Char"/>
    <w:basedOn w:val="DefaultParagraphFont"/>
    <w:link w:val="HTMLAddress"/>
    <w:semiHidden/>
    <w:rsid w:val="002F200C"/>
    <w:rPr>
      <w:rFonts w:ascii="Arial" w:hAnsi="Arial"/>
      <w:i/>
      <w:iCs/>
      <w:sz w:val="22"/>
      <w:szCs w:val="24"/>
      <w:lang w:eastAsia="en-US" w:bidi="en-US"/>
    </w:rPr>
  </w:style>
  <w:style w:type="character" w:styleId="HTMLAcronym">
    <w:name w:val="HTML Acronym"/>
    <w:basedOn w:val="DefaultParagraphFont"/>
    <w:semiHidden/>
    <w:unhideWhenUsed/>
    <w:rsid w:val="002F200C"/>
  </w:style>
  <w:style w:type="paragraph" w:styleId="NormalWeb">
    <w:name w:val="Normal (Web)"/>
    <w:basedOn w:val="Normal"/>
    <w:semiHidden/>
    <w:unhideWhenUsed/>
    <w:rsid w:val="002F200C"/>
    <w:rPr>
      <w:rFonts w:ascii="Times New Roman" w:hAnsi="Times New Roman"/>
      <w:sz w:val="24"/>
    </w:rPr>
  </w:style>
  <w:style w:type="paragraph" w:styleId="PlainText">
    <w:name w:val="Plain Text"/>
    <w:basedOn w:val="Normal"/>
    <w:link w:val="PlainTextChar"/>
    <w:semiHidden/>
    <w:unhideWhenUsed/>
    <w:rsid w:val="002F200C"/>
    <w:rPr>
      <w:rFonts w:ascii="Consolas" w:hAnsi="Consolas"/>
      <w:sz w:val="21"/>
      <w:szCs w:val="21"/>
    </w:rPr>
  </w:style>
  <w:style w:type="character" w:customStyle="1" w:styleId="PlainTextChar">
    <w:name w:val="Plain Text Char"/>
    <w:basedOn w:val="DefaultParagraphFont"/>
    <w:link w:val="PlainText"/>
    <w:semiHidden/>
    <w:rsid w:val="002F200C"/>
    <w:rPr>
      <w:rFonts w:ascii="Consolas" w:hAnsi="Consolas"/>
      <w:sz w:val="21"/>
      <w:szCs w:val="21"/>
      <w:lang w:eastAsia="en-US" w:bidi="en-US"/>
    </w:rPr>
  </w:style>
  <w:style w:type="paragraph" w:styleId="DocumentMap">
    <w:name w:val="Document Map"/>
    <w:basedOn w:val="Normal"/>
    <w:link w:val="DocumentMapChar"/>
    <w:semiHidden/>
    <w:unhideWhenUsed/>
    <w:rsid w:val="002F200C"/>
    <w:rPr>
      <w:rFonts w:ascii="Segoe UI" w:hAnsi="Segoe UI" w:cs="Segoe UI"/>
      <w:sz w:val="16"/>
      <w:szCs w:val="16"/>
    </w:rPr>
  </w:style>
  <w:style w:type="character" w:customStyle="1" w:styleId="DocumentMapChar">
    <w:name w:val="Document Map Char"/>
    <w:basedOn w:val="DefaultParagraphFont"/>
    <w:link w:val="DocumentMap"/>
    <w:semiHidden/>
    <w:rsid w:val="002F200C"/>
    <w:rPr>
      <w:rFonts w:ascii="Segoe UI" w:hAnsi="Segoe UI" w:cs="Segoe UI"/>
      <w:sz w:val="16"/>
      <w:szCs w:val="16"/>
      <w:lang w:eastAsia="en-US" w:bidi="en-US"/>
    </w:rPr>
  </w:style>
  <w:style w:type="character" w:styleId="Emphasis">
    <w:name w:val="Emphasis"/>
    <w:basedOn w:val="DefaultParagraphFont"/>
    <w:uiPriority w:val="20"/>
    <w:rsid w:val="002F200C"/>
    <w:rPr>
      <w:i/>
      <w:iCs/>
    </w:rPr>
  </w:style>
  <w:style w:type="character" w:styleId="Strong">
    <w:name w:val="Strong"/>
    <w:basedOn w:val="DefaultParagraphFont"/>
    <w:uiPriority w:val="22"/>
    <w:rsid w:val="002F200C"/>
    <w:rPr>
      <w:b/>
      <w:bCs/>
    </w:rPr>
  </w:style>
  <w:style w:type="paragraph" w:styleId="BlockText">
    <w:name w:val="Block Text"/>
    <w:basedOn w:val="Normal"/>
    <w:semiHidden/>
    <w:unhideWhenUsed/>
    <w:rsid w:val="002F20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2F200C"/>
    <w:pPr>
      <w:spacing w:after="120"/>
      <w:ind w:left="283"/>
    </w:pPr>
    <w:rPr>
      <w:sz w:val="16"/>
      <w:szCs w:val="16"/>
    </w:rPr>
  </w:style>
  <w:style w:type="character" w:customStyle="1" w:styleId="BodyTextIndent3Char">
    <w:name w:val="Body Text Indent 3 Char"/>
    <w:basedOn w:val="DefaultParagraphFont"/>
    <w:link w:val="BodyTextIndent3"/>
    <w:semiHidden/>
    <w:rsid w:val="002F200C"/>
    <w:rPr>
      <w:rFonts w:ascii="Arial" w:hAnsi="Arial"/>
      <w:sz w:val="16"/>
      <w:szCs w:val="16"/>
      <w:lang w:eastAsia="en-US" w:bidi="en-US"/>
    </w:rPr>
  </w:style>
  <w:style w:type="paragraph" w:styleId="BodyTextIndent2">
    <w:name w:val="Body Text Indent 2"/>
    <w:basedOn w:val="Normal"/>
    <w:link w:val="BodyTextIndent2Char"/>
    <w:semiHidden/>
    <w:unhideWhenUsed/>
    <w:rsid w:val="002F200C"/>
    <w:pPr>
      <w:spacing w:after="120" w:line="480" w:lineRule="auto"/>
      <w:ind w:left="283"/>
    </w:pPr>
  </w:style>
  <w:style w:type="character" w:customStyle="1" w:styleId="BodyTextIndent2Char">
    <w:name w:val="Body Text Indent 2 Char"/>
    <w:basedOn w:val="DefaultParagraphFont"/>
    <w:link w:val="BodyTextIndent2"/>
    <w:semiHidden/>
    <w:rsid w:val="002F200C"/>
    <w:rPr>
      <w:rFonts w:ascii="Arial" w:hAnsi="Arial"/>
      <w:sz w:val="22"/>
      <w:szCs w:val="24"/>
      <w:lang w:eastAsia="en-US" w:bidi="en-US"/>
    </w:rPr>
  </w:style>
  <w:style w:type="paragraph" w:styleId="BodyText3">
    <w:name w:val="Body Text 3"/>
    <w:basedOn w:val="Normal"/>
    <w:link w:val="BodyText3Char"/>
    <w:semiHidden/>
    <w:unhideWhenUsed/>
    <w:rsid w:val="002F200C"/>
    <w:pPr>
      <w:spacing w:after="120"/>
    </w:pPr>
    <w:rPr>
      <w:sz w:val="16"/>
      <w:szCs w:val="16"/>
    </w:rPr>
  </w:style>
  <w:style w:type="character" w:customStyle="1" w:styleId="BodyText3Char">
    <w:name w:val="Body Text 3 Char"/>
    <w:basedOn w:val="DefaultParagraphFont"/>
    <w:link w:val="BodyText3"/>
    <w:semiHidden/>
    <w:rsid w:val="002F200C"/>
    <w:rPr>
      <w:rFonts w:ascii="Arial" w:hAnsi="Arial"/>
      <w:sz w:val="16"/>
      <w:szCs w:val="16"/>
      <w:lang w:eastAsia="en-US" w:bidi="en-US"/>
    </w:rPr>
  </w:style>
  <w:style w:type="paragraph" w:styleId="BodyText2">
    <w:name w:val="Body Text 2"/>
    <w:basedOn w:val="Normal"/>
    <w:link w:val="BodyText2Char"/>
    <w:semiHidden/>
    <w:unhideWhenUsed/>
    <w:rsid w:val="002F200C"/>
    <w:pPr>
      <w:spacing w:after="120" w:line="480" w:lineRule="auto"/>
    </w:pPr>
  </w:style>
  <w:style w:type="character" w:customStyle="1" w:styleId="BodyText2Char">
    <w:name w:val="Body Text 2 Char"/>
    <w:basedOn w:val="DefaultParagraphFont"/>
    <w:link w:val="BodyText2"/>
    <w:semiHidden/>
    <w:rsid w:val="002F200C"/>
    <w:rPr>
      <w:rFonts w:ascii="Arial" w:hAnsi="Arial"/>
      <w:sz w:val="22"/>
      <w:szCs w:val="24"/>
      <w:lang w:eastAsia="en-US" w:bidi="en-US"/>
    </w:rPr>
  </w:style>
  <w:style w:type="paragraph" w:styleId="NoteHeading">
    <w:name w:val="Note Heading"/>
    <w:basedOn w:val="Normal"/>
    <w:next w:val="Normal"/>
    <w:link w:val="NoteHeadingChar"/>
    <w:semiHidden/>
    <w:unhideWhenUsed/>
    <w:rsid w:val="002F200C"/>
  </w:style>
  <w:style w:type="character" w:customStyle="1" w:styleId="NoteHeadingChar">
    <w:name w:val="Note Heading Char"/>
    <w:basedOn w:val="DefaultParagraphFont"/>
    <w:link w:val="NoteHeading"/>
    <w:semiHidden/>
    <w:rsid w:val="002F200C"/>
    <w:rPr>
      <w:rFonts w:ascii="Arial" w:hAnsi="Arial"/>
      <w:sz w:val="22"/>
      <w:szCs w:val="24"/>
      <w:lang w:eastAsia="en-US" w:bidi="en-US"/>
    </w:rPr>
  </w:style>
  <w:style w:type="paragraph" w:styleId="BodyTextIndent">
    <w:name w:val="Body Text Indent"/>
    <w:basedOn w:val="Normal"/>
    <w:link w:val="BodyTextIndentChar"/>
    <w:semiHidden/>
    <w:unhideWhenUsed/>
    <w:rsid w:val="002F200C"/>
    <w:pPr>
      <w:spacing w:after="120"/>
      <w:ind w:left="283"/>
    </w:pPr>
  </w:style>
  <w:style w:type="character" w:customStyle="1" w:styleId="BodyTextIndentChar">
    <w:name w:val="Body Text Indent Char"/>
    <w:basedOn w:val="DefaultParagraphFont"/>
    <w:link w:val="BodyTextIndent"/>
    <w:semiHidden/>
    <w:rsid w:val="002F200C"/>
    <w:rPr>
      <w:rFonts w:ascii="Arial" w:hAnsi="Arial"/>
      <w:sz w:val="22"/>
      <w:szCs w:val="24"/>
      <w:lang w:eastAsia="en-US" w:bidi="en-US"/>
    </w:rPr>
  </w:style>
  <w:style w:type="paragraph" w:styleId="BodyTextFirstIndent2">
    <w:name w:val="Body Text First Indent 2"/>
    <w:basedOn w:val="BodyTextIndent"/>
    <w:link w:val="BodyTextFirstIndent2Char"/>
    <w:semiHidden/>
    <w:unhideWhenUsed/>
    <w:rsid w:val="002F200C"/>
    <w:pPr>
      <w:spacing w:after="0"/>
      <w:ind w:left="360" w:firstLine="360"/>
    </w:pPr>
  </w:style>
  <w:style w:type="character" w:customStyle="1" w:styleId="BodyTextFirstIndent2Char">
    <w:name w:val="Body Text First Indent 2 Char"/>
    <w:basedOn w:val="BodyTextIndentChar"/>
    <w:link w:val="BodyTextFirstIndent2"/>
    <w:semiHidden/>
    <w:rsid w:val="002F200C"/>
    <w:rPr>
      <w:rFonts w:ascii="Arial" w:hAnsi="Arial"/>
      <w:sz w:val="22"/>
      <w:szCs w:val="24"/>
      <w:lang w:eastAsia="en-US" w:bidi="en-US"/>
    </w:rPr>
  </w:style>
  <w:style w:type="paragraph" w:styleId="BodyText">
    <w:name w:val="Body Text"/>
    <w:basedOn w:val="Normal"/>
    <w:link w:val="BodyTextChar"/>
    <w:semiHidden/>
    <w:unhideWhenUsed/>
    <w:rsid w:val="002F200C"/>
    <w:pPr>
      <w:spacing w:after="120"/>
    </w:pPr>
  </w:style>
  <w:style w:type="character" w:customStyle="1" w:styleId="BodyTextChar">
    <w:name w:val="Body Text Char"/>
    <w:basedOn w:val="DefaultParagraphFont"/>
    <w:link w:val="BodyText"/>
    <w:semiHidden/>
    <w:rsid w:val="002F200C"/>
    <w:rPr>
      <w:rFonts w:ascii="Arial" w:hAnsi="Arial"/>
      <w:sz w:val="22"/>
      <w:szCs w:val="24"/>
      <w:lang w:eastAsia="en-US" w:bidi="en-US"/>
    </w:rPr>
  </w:style>
  <w:style w:type="paragraph" w:styleId="BodyTextFirstIndent">
    <w:name w:val="Body Text First Indent"/>
    <w:basedOn w:val="BodyText"/>
    <w:link w:val="BodyTextFirstIndentChar"/>
    <w:rsid w:val="002F200C"/>
    <w:pPr>
      <w:spacing w:after="0"/>
      <w:ind w:firstLine="360"/>
    </w:pPr>
  </w:style>
  <w:style w:type="character" w:customStyle="1" w:styleId="BodyTextFirstIndentChar">
    <w:name w:val="Body Text First Indent Char"/>
    <w:basedOn w:val="BodyTextChar"/>
    <w:link w:val="BodyTextFirstIndent"/>
    <w:rsid w:val="002F200C"/>
    <w:rPr>
      <w:rFonts w:ascii="Arial" w:hAnsi="Arial"/>
      <w:sz w:val="22"/>
      <w:szCs w:val="24"/>
      <w:lang w:eastAsia="en-US" w:bidi="en-US"/>
    </w:rPr>
  </w:style>
  <w:style w:type="paragraph" w:styleId="Date">
    <w:name w:val="Date"/>
    <w:basedOn w:val="Normal"/>
    <w:next w:val="Normal"/>
    <w:link w:val="DateChar"/>
    <w:rsid w:val="002F200C"/>
  </w:style>
  <w:style w:type="character" w:customStyle="1" w:styleId="DateChar">
    <w:name w:val="Date Char"/>
    <w:basedOn w:val="DefaultParagraphFont"/>
    <w:link w:val="Date"/>
    <w:rsid w:val="002F200C"/>
    <w:rPr>
      <w:rFonts w:ascii="Arial" w:hAnsi="Arial"/>
      <w:sz w:val="22"/>
      <w:szCs w:val="24"/>
      <w:lang w:eastAsia="en-US" w:bidi="en-US"/>
    </w:rPr>
  </w:style>
  <w:style w:type="paragraph" w:styleId="Salutation">
    <w:name w:val="Salutation"/>
    <w:basedOn w:val="Normal"/>
    <w:next w:val="Normal"/>
    <w:link w:val="SalutationChar"/>
    <w:rsid w:val="002F200C"/>
  </w:style>
  <w:style w:type="character" w:customStyle="1" w:styleId="SalutationChar">
    <w:name w:val="Salutation Char"/>
    <w:basedOn w:val="DefaultParagraphFont"/>
    <w:link w:val="Salutation"/>
    <w:rsid w:val="002F200C"/>
    <w:rPr>
      <w:rFonts w:ascii="Arial" w:hAnsi="Arial"/>
      <w:sz w:val="22"/>
      <w:szCs w:val="24"/>
      <w:lang w:eastAsia="en-US" w:bidi="en-US"/>
    </w:rPr>
  </w:style>
  <w:style w:type="paragraph" w:styleId="MessageHeader">
    <w:name w:val="Message Header"/>
    <w:basedOn w:val="Normal"/>
    <w:link w:val="MessageHeaderChar"/>
    <w:semiHidden/>
    <w:unhideWhenUsed/>
    <w:rsid w:val="002F200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F200C"/>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semiHidden/>
    <w:unhideWhenUsed/>
    <w:rsid w:val="002F200C"/>
    <w:pPr>
      <w:spacing w:after="120"/>
      <w:ind w:left="1415"/>
      <w:contextualSpacing/>
    </w:pPr>
  </w:style>
  <w:style w:type="paragraph" w:styleId="ListContinue4">
    <w:name w:val="List Continue 4"/>
    <w:basedOn w:val="Normal"/>
    <w:semiHidden/>
    <w:unhideWhenUsed/>
    <w:rsid w:val="002F200C"/>
    <w:pPr>
      <w:spacing w:after="120"/>
      <w:ind w:left="1132"/>
      <w:contextualSpacing/>
    </w:pPr>
  </w:style>
  <w:style w:type="paragraph" w:styleId="ListContinue3">
    <w:name w:val="List Continue 3"/>
    <w:basedOn w:val="Normal"/>
    <w:semiHidden/>
    <w:unhideWhenUsed/>
    <w:rsid w:val="002F200C"/>
    <w:pPr>
      <w:spacing w:after="120"/>
      <w:ind w:left="849"/>
      <w:contextualSpacing/>
    </w:pPr>
  </w:style>
  <w:style w:type="paragraph" w:styleId="ListContinue2">
    <w:name w:val="List Continue 2"/>
    <w:basedOn w:val="Normal"/>
    <w:semiHidden/>
    <w:unhideWhenUsed/>
    <w:rsid w:val="002F200C"/>
    <w:pPr>
      <w:spacing w:after="120"/>
      <w:ind w:left="566"/>
      <w:contextualSpacing/>
    </w:pPr>
  </w:style>
  <w:style w:type="paragraph" w:styleId="ListContinue">
    <w:name w:val="List Continue"/>
    <w:basedOn w:val="Normal"/>
    <w:semiHidden/>
    <w:unhideWhenUsed/>
    <w:rsid w:val="002F200C"/>
    <w:pPr>
      <w:spacing w:after="120"/>
      <w:ind w:left="283"/>
      <w:contextualSpacing/>
    </w:pPr>
  </w:style>
  <w:style w:type="paragraph" w:styleId="Signature">
    <w:name w:val="Signature"/>
    <w:basedOn w:val="Normal"/>
    <w:link w:val="SignatureChar"/>
    <w:semiHidden/>
    <w:unhideWhenUsed/>
    <w:rsid w:val="002F200C"/>
    <w:pPr>
      <w:ind w:left="4252"/>
    </w:pPr>
  </w:style>
  <w:style w:type="character" w:customStyle="1" w:styleId="SignatureChar">
    <w:name w:val="Signature Char"/>
    <w:basedOn w:val="DefaultParagraphFont"/>
    <w:link w:val="Signature"/>
    <w:semiHidden/>
    <w:rsid w:val="002F200C"/>
    <w:rPr>
      <w:rFonts w:ascii="Arial" w:hAnsi="Arial"/>
      <w:sz w:val="22"/>
      <w:szCs w:val="24"/>
      <w:lang w:eastAsia="en-US" w:bidi="en-US"/>
    </w:rPr>
  </w:style>
  <w:style w:type="paragraph" w:styleId="Closing">
    <w:name w:val="Closing"/>
    <w:basedOn w:val="Normal"/>
    <w:link w:val="ClosingChar"/>
    <w:semiHidden/>
    <w:unhideWhenUsed/>
    <w:rsid w:val="002F200C"/>
    <w:pPr>
      <w:ind w:left="4252"/>
    </w:pPr>
  </w:style>
  <w:style w:type="character" w:customStyle="1" w:styleId="ClosingChar">
    <w:name w:val="Closing Char"/>
    <w:basedOn w:val="DefaultParagraphFont"/>
    <w:link w:val="Closing"/>
    <w:semiHidden/>
    <w:rsid w:val="002F200C"/>
    <w:rPr>
      <w:rFonts w:ascii="Arial" w:hAnsi="Arial"/>
      <w:sz w:val="22"/>
      <w:szCs w:val="24"/>
      <w:lang w:eastAsia="en-US" w:bidi="en-US"/>
    </w:rPr>
  </w:style>
  <w:style w:type="paragraph" w:styleId="ListNumber5">
    <w:name w:val="List Number 5"/>
    <w:basedOn w:val="Normal"/>
    <w:semiHidden/>
    <w:unhideWhenUsed/>
    <w:rsid w:val="002F200C"/>
    <w:pPr>
      <w:numPr>
        <w:numId w:val="8"/>
      </w:numPr>
      <w:contextualSpacing/>
    </w:pPr>
  </w:style>
  <w:style w:type="paragraph" w:styleId="ListNumber4">
    <w:name w:val="List Number 4"/>
    <w:basedOn w:val="Normal"/>
    <w:semiHidden/>
    <w:unhideWhenUsed/>
    <w:rsid w:val="002F200C"/>
    <w:pPr>
      <w:numPr>
        <w:numId w:val="9"/>
      </w:numPr>
      <w:contextualSpacing/>
    </w:pPr>
  </w:style>
  <w:style w:type="paragraph" w:styleId="ListNumber3">
    <w:name w:val="List Number 3"/>
    <w:basedOn w:val="Normal"/>
    <w:semiHidden/>
    <w:unhideWhenUsed/>
    <w:rsid w:val="002F200C"/>
    <w:pPr>
      <w:numPr>
        <w:numId w:val="10"/>
      </w:numPr>
      <w:contextualSpacing/>
    </w:pPr>
  </w:style>
  <w:style w:type="paragraph" w:styleId="ListNumber2">
    <w:name w:val="List Number 2"/>
    <w:basedOn w:val="Normal"/>
    <w:semiHidden/>
    <w:unhideWhenUsed/>
    <w:rsid w:val="002F200C"/>
    <w:pPr>
      <w:numPr>
        <w:numId w:val="11"/>
      </w:numPr>
      <w:contextualSpacing/>
    </w:pPr>
  </w:style>
  <w:style w:type="paragraph" w:styleId="ListBullet5">
    <w:name w:val="List Bullet 5"/>
    <w:basedOn w:val="Normal"/>
    <w:semiHidden/>
    <w:unhideWhenUsed/>
    <w:rsid w:val="002F200C"/>
    <w:pPr>
      <w:numPr>
        <w:numId w:val="12"/>
      </w:numPr>
      <w:contextualSpacing/>
    </w:pPr>
  </w:style>
  <w:style w:type="paragraph" w:styleId="ListBullet4">
    <w:name w:val="List Bullet 4"/>
    <w:basedOn w:val="Normal"/>
    <w:semiHidden/>
    <w:unhideWhenUsed/>
    <w:rsid w:val="002F200C"/>
    <w:pPr>
      <w:numPr>
        <w:numId w:val="13"/>
      </w:numPr>
      <w:contextualSpacing/>
    </w:pPr>
  </w:style>
  <w:style w:type="paragraph" w:styleId="ListBullet3">
    <w:name w:val="List Bullet 3"/>
    <w:basedOn w:val="Normal"/>
    <w:semiHidden/>
    <w:unhideWhenUsed/>
    <w:rsid w:val="002F200C"/>
    <w:pPr>
      <w:numPr>
        <w:numId w:val="14"/>
      </w:numPr>
      <w:contextualSpacing/>
    </w:pPr>
  </w:style>
  <w:style w:type="paragraph" w:styleId="ListBullet2">
    <w:name w:val="List Bullet 2"/>
    <w:basedOn w:val="Normal"/>
    <w:semiHidden/>
    <w:unhideWhenUsed/>
    <w:rsid w:val="002F200C"/>
    <w:pPr>
      <w:numPr>
        <w:numId w:val="15"/>
      </w:numPr>
      <w:contextualSpacing/>
    </w:pPr>
  </w:style>
  <w:style w:type="paragraph" w:styleId="List5">
    <w:name w:val="List 5"/>
    <w:basedOn w:val="Normal"/>
    <w:rsid w:val="002F200C"/>
    <w:pPr>
      <w:ind w:left="1415" w:hanging="283"/>
      <w:contextualSpacing/>
    </w:pPr>
  </w:style>
  <w:style w:type="paragraph" w:styleId="List4">
    <w:name w:val="List 4"/>
    <w:basedOn w:val="Normal"/>
    <w:rsid w:val="002F200C"/>
    <w:pPr>
      <w:ind w:left="1132" w:hanging="283"/>
      <w:contextualSpacing/>
    </w:pPr>
  </w:style>
  <w:style w:type="paragraph" w:styleId="List3">
    <w:name w:val="List 3"/>
    <w:basedOn w:val="Normal"/>
    <w:semiHidden/>
    <w:unhideWhenUsed/>
    <w:rsid w:val="002F200C"/>
    <w:pPr>
      <w:ind w:left="849" w:hanging="283"/>
      <w:contextualSpacing/>
    </w:pPr>
  </w:style>
  <w:style w:type="paragraph" w:styleId="List2">
    <w:name w:val="List 2"/>
    <w:basedOn w:val="Normal"/>
    <w:semiHidden/>
    <w:unhideWhenUsed/>
    <w:rsid w:val="002F200C"/>
    <w:pPr>
      <w:ind w:left="566" w:hanging="283"/>
      <w:contextualSpacing/>
    </w:pPr>
  </w:style>
  <w:style w:type="paragraph" w:styleId="ListNumber">
    <w:name w:val="List Number"/>
    <w:basedOn w:val="Normal"/>
    <w:rsid w:val="002F200C"/>
    <w:pPr>
      <w:numPr>
        <w:numId w:val="16"/>
      </w:numPr>
      <w:contextualSpacing/>
    </w:pPr>
  </w:style>
  <w:style w:type="paragraph" w:styleId="ListBullet">
    <w:name w:val="List Bullet"/>
    <w:basedOn w:val="Normal"/>
    <w:semiHidden/>
    <w:unhideWhenUsed/>
    <w:rsid w:val="002F200C"/>
    <w:pPr>
      <w:numPr>
        <w:numId w:val="17"/>
      </w:numPr>
      <w:contextualSpacing/>
    </w:pPr>
  </w:style>
  <w:style w:type="paragraph" w:styleId="List">
    <w:name w:val="List"/>
    <w:basedOn w:val="Normal"/>
    <w:semiHidden/>
    <w:unhideWhenUsed/>
    <w:rsid w:val="002F200C"/>
    <w:pPr>
      <w:ind w:left="283" w:hanging="283"/>
      <w:contextualSpacing/>
    </w:pPr>
  </w:style>
  <w:style w:type="paragraph" w:styleId="TOAHeading">
    <w:name w:val="toa heading"/>
    <w:basedOn w:val="Normal"/>
    <w:next w:val="Normal"/>
    <w:semiHidden/>
    <w:unhideWhenUsed/>
    <w:rsid w:val="002F200C"/>
    <w:pPr>
      <w:spacing w:before="120"/>
    </w:pPr>
    <w:rPr>
      <w:rFonts w:asciiTheme="majorHAnsi" w:eastAsiaTheme="majorEastAsia" w:hAnsiTheme="majorHAnsi" w:cstheme="majorBidi"/>
      <w:b/>
      <w:bCs/>
      <w:sz w:val="24"/>
    </w:rPr>
  </w:style>
  <w:style w:type="paragraph" w:styleId="MacroText">
    <w:name w:val="macro"/>
    <w:link w:val="MacroTextChar"/>
    <w:semiHidden/>
    <w:unhideWhenUsed/>
    <w:rsid w:val="002F200C"/>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en-US"/>
    </w:rPr>
  </w:style>
  <w:style w:type="character" w:customStyle="1" w:styleId="MacroTextChar">
    <w:name w:val="Macro Text Char"/>
    <w:basedOn w:val="DefaultParagraphFont"/>
    <w:link w:val="MacroText"/>
    <w:semiHidden/>
    <w:rsid w:val="002F200C"/>
    <w:rPr>
      <w:rFonts w:ascii="Consolas" w:hAnsi="Consolas"/>
      <w:lang w:eastAsia="en-US" w:bidi="en-US"/>
    </w:rPr>
  </w:style>
  <w:style w:type="paragraph" w:styleId="TableofAuthorities">
    <w:name w:val="table of authorities"/>
    <w:basedOn w:val="Normal"/>
    <w:next w:val="Normal"/>
    <w:semiHidden/>
    <w:unhideWhenUsed/>
    <w:rsid w:val="002F200C"/>
    <w:pPr>
      <w:ind w:left="220" w:hanging="220"/>
    </w:pPr>
  </w:style>
  <w:style w:type="paragraph" w:styleId="EndnoteText">
    <w:name w:val="endnote text"/>
    <w:basedOn w:val="Normal"/>
    <w:link w:val="EndnoteTextChar"/>
    <w:semiHidden/>
    <w:unhideWhenUsed/>
    <w:rsid w:val="002F200C"/>
    <w:rPr>
      <w:sz w:val="20"/>
      <w:szCs w:val="20"/>
    </w:rPr>
  </w:style>
  <w:style w:type="character" w:customStyle="1" w:styleId="EndnoteTextChar">
    <w:name w:val="Endnote Text Char"/>
    <w:basedOn w:val="DefaultParagraphFont"/>
    <w:link w:val="EndnoteText"/>
    <w:semiHidden/>
    <w:rsid w:val="002F200C"/>
    <w:rPr>
      <w:rFonts w:ascii="Arial" w:hAnsi="Arial"/>
      <w:lang w:eastAsia="en-US" w:bidi="en-US"/>
    </w:rPr>
  </w:style>
  <w:style w:type="character" w:styleId="EndnoteReference">
    <w:name w:val="endnote reference"/>
    <w:basedOn w:val="DefaultParagraphFont"/>
    <w:semiHidden/>
    <w:unhideWhenUsed/>
    <w:rsid w:val="002F200C"/>
    <w:rPr>
      <w:vertAlign w:val="superscript"/>
    </w:rPr>
  </w:style>
  <w:style w:type="character" w:styleId="LineNumber">
    <w:name w:val="line number"/>
    <w:basedOn w:val="DefaultParagraphFont"/>
    <w:semiHidden/>
    <w:unhideWhenUsed/>
    <w:rsid w:val="002F200C"/>
  </w:style>
  <w:style w:type="paragraph" w:styleId="EnvelopeReturn">
    <w:name w:val="envelope return"/>
    <w:basedOn w:val="Normal"/>
    <w:semiHidden/>
    <w:unhideWhenUsed/>
    <w:rsid w:val="002F200C"/>
    <w:rPr>
      <w:rFonts w:asciiTheme="majorHAnsi" w:eastAsiaTheme="majorEastAsia" w:hAnsiTheme="majorHAnsi" w:cstheme="majorBidi"/>
      <w:sz w:val="20"/>
      <w:szCs w:val="20"/>
    </w:rPr>
  </w:style>
  <w:style w:type="paragraph" w:styleId="EnvelopeAddress">
    <w:name w:val="envelope address"/>
    <w:basedOn w:val="Normal"/>
    <w:semiHidden/>
    <w:unhideWhenUsed/>
    <w:rsid w:val="002F200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semiHidden/>
    <w:unhideWhenUsed/>
    <w:rsid w:val="002F200C"/>
  </w:style>
  <w:style w:type="paragraph" w:styleId="Index1">
    <w:name w:val="index 1"/>
    <w:basedOn w:val="Normal"/>
    <w:next w:val="Normal"/>
    <w:autoRedefine/>
    <w:semiHidden/>
    <w:unhideWhenUsed/>
    <w:rsid w:val="002F200C"/>
    <w:pPr>
      <w:ind w:left="220" w:hanging="220"/>
    </w:pPr>
  </w:style>
  <w:style w:type="paragraph" w:styleId="IndexHeading">
    <w:name w:val="index heading"/>
    <w:basedOn w:val="Normal"/>
    <w:next w:val="Index1"/>
    <w:semiHidden/>
    <w:unhideWhenUsed/>
    <w:rsid w:val="002F200C"/>
    <w:rPr>
      <w:rFonts w:asciiTheme="majorHAnsi" w:eastAsiaTheme="majorEastAsia" w:hAnsiTheme="majorHAnsi" w:cstheme="majorBidi"/>
      <w:b/>
      <w:bCs/>
    </w:rPr>
  </w:style>
  <w:style w:type="paragraph" w:styleId="NormalIndent">
    <w:name w:val="Normal Indent"/>
    <w:basedOn w:val="Normal"/>
    <w:semiHidden/>
    <w:unhideWhenUsed/>
    <w:rsid w:val="002F200C"/>
    <w:pPr>
      <w:ind w:left="567"/>
    </w:pPr>
  </w:style>
  <w:style w:type="paragraph" w:styleId="Index9">
    <w:name w:val="index 9"/>
    <w:basedOn w:val="Normal"/>
    <w:next w:val="Normal"/>
    <w:autoRedefine/>
    <w:semiHidden/>
    <w:unhideWhenUsed/>
    <w:rsid w:val="002F200C"/>
    <w:pPr>
      <w:ind w:left="1980" w:hanging="220"/>
    </w:pPr>
  </w:style>
  <w:style w:type="paragraph" w:styleId="Index8">
    <w:name w:val="index 8"/>
    <w:basedOn w:val="Normal"/>
    <w:next w:val="Normal"/>
    <w:autoRedefine/>
    <w:semiHidden/>
    <w:unhideWhenUsed/>
    <w:rsid w:val="002F200C"/>
    <w:pPr>
      <w:ind w:left="1760" w:hanging="220"/>
    </w:pPr>
  </w:style>
  <w:style w:type="paragraph" w:styleId="Index7">
    <w:name w:val="index 7"/>
    <w:basedOn w:val="Normal"/>
    <w:next w:val="Normal"/>
    <w:autoRedefine/>
    <w:semiHidden/>
    <w:unhideWhenUsed/>
    <w:rsid w:val="002F200C"/>
    <w:pPr>
      <w:ind w:left="1540" w:hanging="220"/>
    </w:pPr>
  </w:style>
  <w:style w:type="paragraph" w:styleId="Index6">
    <w:name w:val="index 6"/>
    <w:basedOn w:val="Normal"/>
    <w:next w:val="Normal"/>
    <w:autoRedefine/>
    <w:semiHidden/>
    <w:unhideWhenUsed/>
    <w:rsid w:val="002F200C"/>
    <w:pPr>
      <w:ind w:left="1320" w:hanging="220"/>
    </w:pPr>
  </w:style>
  <w:style w:type="paragraph" w:styleId="Index5">
    <w:name w:val="index 5"/>
    <w:basedOn w:val="Normal"/>
    <w:next w:val="Normal"/>
    <w:autoRedefine/>
    <w:semiHidden/>
    <w:unhideWhenUsed/>
    <w:rsid w:val="002F200C"/>
    <w:pPr>
      <w:ind w:left="1100" w:hanging="220"/>
    </w:pPr>
  </w:style>
  <w:style w:type="paragraph" w:styleId="Index4">
    <w:name w:val="index 4"/>
    <w:basedOn w:val="Normal"/>
    <w:next w:val="Normal"/>
    <w:autoRedefine/>
    <w:semiHidden/>
    <w:unhideWhenUsed/>
    <w:rsid w:val="002F200C"/>
    <w:pPr>
      <w:ind w:left="880" w:hanging="220"/>
    </w:pPr>
  </w:style>
  <w:style w:type="paragraph" w:styleId="Index3">
    <w:name w:val="index 3"/>
    <w:basedOn w:val="Normal"/>
    <w:next w:val="Normal"/>
    <w:autoRedefine/>
    <w:semiHidden/>
    <w:unhideWhenUsed/>
    <w:rsid w:val="002F200C"/>
    <w:pPr>
      <w:ind w:left="660" w:hanging="220"/>
    </w:pPr>
  </w:style>
  <w:style w:type="paragraph" w:styleId="Index2">
    <w:name w:val="index 2"/>
    <w:basedOn w:val="Normal"/>
    <w:next w:val="Normal"/>
    <w:autoRedefine/>
    <w:semiHidden/>
    <w:unhideWhenUsed/>
    <w:rsid w:val="002F200C"/>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abs.gov.au/AUSSTATS/abs@.nsf/Latestproducts/4324.0.55.002Main%20Features652011-12?opendocument&amp;tabname=Summary&amp;prodno=4324.0.55.002&amp;issue=2011-12&amp;num=&amp;view"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www.fao.org/3/a-bl839e.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abs.gov.au/AUSSTATS/abs@.nsf/Latestproducts/4324.0.55.002Main%20Features652011-12?opendocument&amp;tabname=Summary&amp;prodno=4324.0.55.002&amp;issue=2011-12&amp;num=&amp;view=" TargetMode="External"/><Relationship Id="rId33" Type="http://schemas.openxmlformats.org/officeDocument/2006/relationships/hyperlink" Target="http://www.fao.org/3/a-bq700e.pdf" TargetMode="External"/><Relationship Id="rId38" Type="http://schemas.openxmlformats.org/officeDocument/2006/relationships/hyperlink" Target="https://admin-www.foodstandards.gov.au/science/exposure/Pages/dietaryexposureandin4438.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dmin-www.foodstandards.gov.au/code/applications/Documents/A1158%20SD1.pdf" TargetMode="External"/><Relationship Id="rId29" Type="http://schemas.openxmlformats.org/officeDocument/2006/relationships/hyperlink" Target="https://admin-www.foodstandards.gov.au/publications/Pages/Principles-and-Practices-of-Dietary.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s://admin-www.foodstandards.gov.au/science/monitoringnutrients/ausnut/ausnutdatafiles/pages/foodnutrient.aspx" TargetMode="External"/><Relationship Id="rId37" Type="http://schemas.openxmlformats.org/officeDocument/2006/relationships/hyperlink" Target="https://admin-www.foodstandards.gov.au/science/exposure/documents/Principles%20_%20practices%20exposure%20assessment%202009.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www.efsa.europa.eu/sites/default/files/scientific_output/files/main_documents/721.pdf" TargetMode="External"/><Relationship Id="rId36" Type="http://schemas.openxmlformats.org/officeDocument/2006/relationships/hyperlink" Target="https://admin-www.foodstandards.gov.au/science/riskanalysis/Pages/default.aspx" TargetMode="Externa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hyperlink" Target="https://admin-www.foodstandards.gov.au/science/exposure/Pages/protectinghighconsum4441.aspx" TargetMode="External"/><Relationship Id="rId35" Type="http://schemas.openxmlformats.org/officeDocument/2006/relationships/hyperlink" Target="http://apps.who.int/iris/bitstream/handle/10665/258934/9789241660730-eng.pdf;jsessionid=E4358413CD4C48874006A7E8CD2B15E1?sequence=1"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www.efsa.europa.eu/sites/default/files/scientific_output/files/main_documents/721.pdf" TargetMode="External"/><Relationship Id="rId30" Type="http://schemas.openxmlformats.org/officeDocument/2006/relationships/hyperlink" Target="https://admin-www.foodstandards.gov.au/publications/Pages/Principles-and-Practices-of-Dietary.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EB2A-732C-45F0-984A-5DEAC3199F6C}"/>
</file>

<file path=customXml/itemProps2.xml><?xml version="1.0" encoding="utf-8"?>
<ds:datastoreItem xmlns:ds="http://schemas.openxmlformats.org/officeDocument/2006/customXml" ds:itemID="{1D605540-FE9E-433F-973E-EC5F945BE2E5}"/>
</file>

<file path=customXml/itemProps3.xml><?xml version="1.0" encoding="utf-8"?>
<ds:datastoreItem xmlns:ds="http://schemas.openxmlformats.org/officeDocument/2006/customXml" ds:itemID="{F1504AE3-DFB8-48E1-B3F8-F909DA69253F}"/>
</file>

<file path=customXml/itemProps4.xml><?xml version="1.0" encoding="utf-8"?>
<ds:datastoreItem xmlns:ds="http://schemas.openxmlformats.org/officeDocument/2006/customXml" ds:itemID="{88E11234-36C8-4E08-BFE0-F152CF033FDA}">
  <ds:schemaRefs>
    <ds:schemaRef ds:uri="Microsoft.SharePoint.Taxonomy.ContentTypeSync"/>
  </ds:schemaRefs>
</ds:datastoreItem>
</file>

<file path=customXml/itemProps5.xml><?xml version="1.0" encoding="utf-8"?>
<ds:datastoreItem xmlns:ds="http://schemas.openxmlformats.org/officeDocument/2006/customXml" ds:itemID="{42EEDA87-E838-457D-B583-30F9403DBAF1}"/>
</file>

<file path=customXml/itemProps6.xml><?xml version="1.0" encoding="utf-8"?>
<ds:datastoreItem xmlns:ds="http://schemas.openxmlformats.org/officeDocument/2006/customXml" ds:itemID="{3B92FDA2-B900-48E6-9951-16DD9AF1D9E5}"/>
</file>

<file path=customXml/itemProps7.xml><?xml version="1.0" encoding="utf-8"?>
<ds:datastoreItem xmlns:ds="http://schemas.openxmlformats.org/officeDocument/2006/customXml" ds:itemID="{A97C0601-DA4B-4962-A3A1-F52089FBAEE9}"/>
</file>

<file path=docProps/app.xml><?xml version="1.0" encoding="utf-8"?>
<Properties xmlns="http://schemas.openxmlformats.org/officeDocument/2006/extended-properties" xmlns:vt="http://schemas.openxmlformats.org/officeDocument/2006/docPropsVTypes">
  <Template>Normal</Template>
  <TotalTime>1434</TotalTime>
  <Pages>59</Pages>
  <Words>39278</Words>
  <Characters>223891</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262644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keywords/>
  <cp:lastModifiedBy>Christine Coughlan</cp:lastModifiedBy>
  <cp:revision>67</cp:revision>
  <cp:lastPrinted>2018-09-10T07:11:00Z</cp:lastPrinted>
  <dcterms:created xsi:type="dcterms:W3CDTF">2018-09-06T01:34:00Z</dcterms:created>
  <dcterms:modified xsi:type="dcterms:W3CDTF">2018-11-12T23:17:00Z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391dbc30-3f69-4ff7-a416-54b313cba5b9</vt:lpwstr>
  </property>
  <property fmtid="{D5CDD505-2E9C-101B-9397-08002B2CF9AE}" pid="3" name="bjSaver">
    <vt:lpwstr>DAMlN63MRL15nVU4ga06V9bY6sEp5/La</vt:lpwstr>
  </property>
  <property fmtid="{D5CDD505-2E9C-101B-9397-08002B2CF9AE}" pid="4" name="ContentTypeId">
    <vt:lpwstr>0x010100CB2FFA9FD6109347A9495CD5860AFAE6</vt:lpwstr>
  </property>
  <property fmtid="{D5CDD505-2E9C-101B-9397-08002B2CF9AE}" pid="5" name="CitaviDocumentProperty_7">
    <vt:lpwstr>A1158 rosemary extract</vt:lpwstr>
  </property>
  <property fmtid="{D5CDD505-2E9C-101B-9397-08002B2CF9AE}" pid="6" name="DisposalClass">
    <vt:lpwstr/>
  </property>
  <property fmtid="{D5CDD505-2E9C-101B-9397-08002B2CF9AE}" pid="7" name="_dlc_DocIdItemGuid">
    <vt:lpwstr>cbd54b37-8421-4bfb-ac45-c3dae0bcae1a</vt:lpwstr>
  </property>
  <property fmtid="{D5CDD505-2E9C-101B-9397-08002B2CF9AE}" pid="8" name="BCS_">
    <vt:lpwstr>40;#Evaluation|43bd8487-b9f6-4055-946c-a118d364275d</vt:lpwstr>
  </property>
  <property fmtid="{D5CDD505-2E9C-101B-9397-08002B2CF9AE}" pid="9" name="TitusGUID">
    <vt:lpwstr>488676d6-68de-4d92-879b-fc015c549fe8</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y fmtid="{D5CDD505-2E9C-101B-9397-08002B2CF9AE}" pid="13" name="CitaviDocumentProperty_8">
    <vt:lpwstr>\\fsfile\users\bervel\Citavi 5\Projects\A1158 rosemary extract\A1158 rosemary extract.ctv5</vt:lpwstr>
  </property>
  <property fmtid="{D5CDD505-2E9C-101B-9397-08002B2CF9AE}" pid="14" name="CitaviDocumentProperty_0">
    <vt:lpwstr>e8181023-3af7-4219-8e65-16963871d2c5</vt:lpwstr>
  </property>
  <property fmtid="{D5CDD505-2E9C-101B-9397-08002B2CF9AE}" pid="15" name="CitaviDocumentProperty_11">
    <vt:lpwstr>Heading 1,FSHeading 1,Chapter heading</vt:lpwstr>
  </property>
  <property fmtid="{D5CDD505-2E9C-101B-9397-08002B2CF9AE}" pid="16" name="CitaviDocumentProperty_12">
    <vt:lpwstr>Normal</vt:lpwstr>
  </property>
  <property fmtid="{D5CDD505-2E9C-101B-9397-08002B2CF9AE}" pid="17" name="CitaviDocumentProperty_16">
    <vt:lpwstr>Subtitle</vt:lpwstr>
  </property>
  <property fmtid="{D5CDD505-2E9C-101B-9397-08002B2CF9AE}" pid="18" name="CitaviDocumentProperty_13">
    <vt:lpwstr>Normal</vt:lpwstr>
  </property>
  <property fmtid="{D5CDD505-2E9C-101B-9397-08002B2CF9AE}" pid="19" name="CitaviDocumentProperty_15">
    <vt:lpwstr>Normal</vt:lpwstr>
  </property>
  <property fmtid="{D5CDD505-2E9C-101B-9397-08002B2CF9AE}" pid="20" name="CitaviDocumentProperty_17">
    <vt:lpwstr>Normal</vt:lpwstr>
  </property>
  <property fmtid="{D5CDD505-2E9C-101B-9397-08002B2CF9AE}" pid="21" name="CitaviDocumentProperty_28">
    <vt:lpwstr>False</vt:lpwstr>
  </property>
  <property fmtid="{D5CDD505-2E9C-101B-9397-08002B2CF9AE}" pid="22" name="CitaviDocumentProperty_9">
    <vt:lpwstr>True</vt:lpwstr>
  </property>
  <property fmtid="{D5CDD505-2E9C-101B-9397-08002B2CF9AE}" pid="23" name="CitaviDocumentProperty_1">
    <vt:lpwstr>5.5.0.1</vt:lpwstr>
  </property>
  <property fmtid="{D5CDD505-2E9C-101B-9397-08002B2CF9AE}" pid="24" name="CitaviDocumentProperty_6">
    <vt:lpwstr>False</vt:lpwstr>
  </property>
</Properties>
</file>